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55C" w:rsidRDefault="00D6355C" w:rsidP="00F17F65">
      <w:pPr>
        <w:spacing w:after="0" w:line="240" w:lineRule="auto"/>
        <w:rPr>
          <w:rFonts w:ascii="Times New Roman" w:eastAsia="Times New Roman" w:hAnsi="Times New Roman" w:cs="Garamond"/>
          <w:b/>
          <w:bCs/>
          <w:sz w:val="20"/>
          <w:szCs w:val="20"/>
        </w:rPr>
      </w:pPr>
    </w:p>
    <w:p w:rsidR="00D6355C" w:rsidRDefault="00D6355C" w:rsidP="00F17F65">
      <w:pPr>
        <w:spacing w:after="0" w:line="240" w:lineRule="auto"/>
        <w:rPr>
          <w:rFonts w:ascii="Times New Roman" w:eastAsia="Times New Roman" w:hAnsi="Times New Roman" w:cs="Garamond"/>
          <w:b/>
          <w:bCs/>
          <w:sz w:val="20"/>
          <w:szCs w:val="20"/>
        </w:rPr>
      </w:pPr>
    </w:p>
    <w:p w:rsidR="007F30C9" w:rsidRDefault="00D6355C" w:rsidP="00F17F65">
      <w:pPr>
        <w:spacing w:after="0" w:line="240" w:lineRule="auto"/>
        <w:rPr>
          <w:rFonts w:ascii="Times New Roman" w:eastAsia="Times New Roman" w:hAnsi="Times New Roman" w:cs="Garamond"/>
          <w:b/>
          <w:bCs/>
          <w:sz w:val="20"/>
          <w:szCs w:val="20"/>
        </w:rPr>
      </w:pPr>
      <w:r>
        <w:rPr>
          <w:rFonts w:ascii="Times New Roman" w:eastAsia="Times New Roman" w:hAnsi="Times New Roman" w:cs="Garamond"/>
          <w:b/>
          <w:bCs/>
          <w:noProof/>
          <w:sz w:val="20"/>
          <w:szCs w:val="20"/>
          <w:lang w:eastAsia="ru-RU"/>
        </w:rPr>
        <w:drawing>
          <wp:inline distT="0" distB="0" distL="0" distR="0" wp14:anchorId="20A12928">
            <wp:extent cx="1762125" cy="189230"/>
            <wp:effectExtent l="0" t="0" r="9525" b="127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sidR="00F17F65" w:rsidRPr="00F17F65">
        <w:rPr>
          <w:rFonts w:ascii="Times New Roman" w:eastAsia="Times New Roman" w:hAnsi="Times New Roman" w:cs="Garamond"/>
          <w:b/>
          <w:bCs/>
          <w:sz w:val="20"/>
          <w:szCs w:val="20"/>
        </w:rPr>
        <w:tab/>
      </w:r>
      <w:r w:rsidR="00F17F65" w:rsidRPr="00F17F65">
        <w:rPr>
          <w:rFonts w:ascii="Times New Roman" w:eastAsia="Times New Roman" w:hAnsi="Times New Roman" w:cs="Garamond"/>
          <w:b/>
          <w:bCs/>
          <w:sz w:val="20"/>
          <w:szCs w:val="20"/>
        </w:rPr>
        <w:tab/>
        <w:t xml:space="preserve">             </w:t>
      </w:r>
      <w:r w:rsidR="00F17F65" w:rsidRPr="00F17F65">
        <w:rPr>
          <w:rFonts w:ascii="Times New Roman" w:eastAsia="Times New Roman" w:hAnsi="Times New Roman" w:cs="Garamond"/>
          <w:b/>
          <w:bCs/>
          <w:sz w:val="20"/>
          <w:szCs w:val="20"/>
        </w:rPr>
        <w:tab/>
        <w:t xml:space="preserve">        </w:t>
      </w:r>
      <w:r w:rsidR="00F17F65" w:rsidRPr="00F17F65">
        <w:rPr>
          <w:rFonts w:ascii="Times New Roman" w:eastAsia="Times New Roman" w:hAnsi="Times New Roman" w:cs="Garamond"/>
          <w:b/>
          <w:bCs/>
          <w:sz w:val="20"/>
          <w:szCs w:val="20"/>
        </w:rPr>
        <w:tab/>
      </w:r>
      <w:r w:rsidR="00F17F65" w:rsidRPr="00F17F65">
        <w:rPr>
          <w:rFonts w:ascii="Times New Roman" w:eastAsia="Times New Roman" w:hAnsi="Times New Roman" w:cs="Garamond"/>
          <w:b/>
          <w:bCs/>
          <w:sz w:val="20"/>
          <w:szCs w:val="20"/>
        </w:rPr>
        <w:tab/>
        <w:t xml:space="preserve">                  </w:t>
      </w:r>
    </w:p>
    <w:p w:rsidR="00F17F65" w:rsidRPr="00AC60CC" w:rsidRDefault="007F30C9" w:rsidP="007F30C9">
      <w:pPr>
        <w:spacing w:after="0" w:line="240" w:lineRule="auto"/>
        <w:ind w:left="5670"/>
        <w:jc w:val="center"/>
        <w:rPr>
          <w:rFonts w:ascii="Times New Roman" w:eastAsia="Times New Roman" w:hAnsi="Times New Roman" w:cs="Times New Roman"/>
          <w:bCs/>
          <w:sz w:val="20"/>
          <w:szCs w:val="20"/>
        </w:rPr>
      </w:pPr>
      <w:r w:rsidRPr="007F30C9">
        <w:rPr>
          <w:rFonts w:ascii="Times New Roman" w:eastAsia="Times New Roman" w:hAnsi="Times New Roman" w:cs="Times New Roman"/>
          <w:bCs/>
          <w:sz w:val="20"/>
          <w:szCs w:val="20"/>
        </w:rPr>
        <w:t xml:space="preserve">Приложение </w:t>
      </w:r>
      <w:r w:rsidR="00CB2B81" w:rsidRPr="00AC60CC">
        <w:rPr>
          <w:rFonts w:ascii="Times New Roman" w:eastAsia="Times New Roman" w:hAnsi="Times New Roman" w:cs="Times New Roman"/>
          <w:bCs/>
          <w:sz w:val="20"/>
          <w:szCs w:val="20"/>
        </w:rPr>
        <w:t>10</w:t>
      </w:r>
    </w:p>
    <w:p w:rsidR="00F17F65" w:rsidRPr="007F30C9" w:rsidRDefault="00F17F65" w:rsidP="007F30C9">
      <w:pPr>
        <w:spacing w:after="0" w:line="240" w:lineRule="auto"/>
        <w:ind w:left="5670"/>
        <w:jc w:val="center"/>
        <w:rPr>
          <w:rFonts w:ascii="Times New Roman" w:eastAsia="Times New Roman" w:hAnsi="Times New Roman" w:cs="Times New Roman"/>
          <w:bCs/>
          <w:sz w:val="20"/>
          <w:szCs w:val="20"/>
        </w:rPr>
      </w:pPr>
      <w:r w:rsidRPr="007F30C9">
        <w:rPr>
          <w:rFonts w:ascii="Times New Roman" w:eastAsia="Times New Roman" w:hAnsi="Times New Roman" w:cs="Times New Roman"/>
          <w:bCs/>
          <w:sz w:val="20"/>
          <w:szCs w:val="20"/>
        </w:rPr>
        <w:t xml:space="preserve">к Регламенту </w:t>
      </w:r>
      <w:r w:rsidRPr="007F30C9">
        <w:rPr>
          <w:rFonts w:ascii="Times New Roman" w:eastAsia="Times New Roman" w:hAnsi="Times New Roman" w:cs="Times New Roman"/>
          <w:sz w:val="20"/>
          <w:szCs w:val="20"/>
        </w:rPr>
        <w:t>оказания услуг на финансовых рынках</w:t>
      </w:r>
      <w:r w:rsidR="007F30C9">
        <w:rPr>
          <w:rFonts w:ascii="Times New Roman" w:eastAsia="Times New Roman" w:hAnsi="Times New Roman" w:cs="Times New Roman"/>
          <w:sz w:val="20"/>
          <w:szCs w:val="20"/>
        </w:rPr>
        <w:t xml:space="preserve"> </w:t>
      </w:r>
      <w:r w:rsidR="00D66E69">
        <w:rPr>
          <w:rFonts w:ascii="Times New Roman" w:eastAsia="Times New Roman" w:hAnsi="Times New Roman" w:cs="Times New Roman"/>
          <w:bCs/>
          <w:sz w:val="20"/>
          <w:szCs w:val="20"/>
        </w:rPr>
        <w:t>ПАО «Совкомбанк»</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lang w:eastAsia="ru-RU"/>
        </w:rPr>
      </w:pPr>
      <w:r w:rsidRPr="00F17F65">
        <w:rPr>
          <w:rFonts w:ascii="Times New Roman" w:eastAsia="Times New Roman" w:hAnsi="Times New Roman" w:cs="Times New Roman"/>
          <w:b/>
          <w:bCs/>
          <w:lang w:eastAsia="ru-RU"/>
        </w:rPr>
        <w:t xml:space="preserve">Правила </w:t>
      </w:r>
      <w:bookmarkStart w:id="0" w:name="_GoBack"/>
      <w:bookmarkEnd w:id="0"/>
      <w:r w:rsidRPr="00F17F65">
        <w:rPr>
          <w:rFonts w:ascii="Times New Roman" w:eastAsia="Times New Roman" w:hAnsi="Times New Roman" w:cs="Times New Roman"/>
          <w:b/>
          <w:bCs/>
          <w:lang w:eastAsia="ru-RU"/>
        </w:rPr>
        <w:t>и условия</w:t>
      </w:r>
      <w:r w:rsidRPr="00F17F65">
        <w:rPr>
          <w:rFonts w:ascii="Times New Roman" w:eastAsia="Times New Roman" w:hAnsi="Times New Roman" w:cs="Times New Roman"/>
          <w:lang w:eastAsia="ru-RU"/>
        </w:rPr>
        <w:t xml:space="preserve"> </w:t>
      </w:r>
      <w:r w:rsidRPr="00F17F65">
        <w:rPr>
          <w:rFonts w:ascii="Times New Roman" w:eastAsia="Times New Roman" w:hAnsi="Times New Roman" w:cs="Times New Roman"/>
          <w:b/>
          <w:lang w:eastAsia="ru-RU"/>
        </w:rPr>
        <w:t xml:space="preserve">ведения </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lang w:eastAsia="ru-RU"/>
        </w:rPr>
        <w:t>Индивидуального инвестиционного счёта</w:t>
      </w:r>
      <w:r w:rsidRPr="00F17F65">
        <w:rPr>
          <w:rFonts w:ascii="Times New Roman" w:eastAsia="Times New Roman" w:hAnsi="Times New Roman" w:cs="Times New Roman"/>
          <w:b/>
          <w:bCs/>
          <w:lang w:eastAsia="ru-RU"/>
        </w:rPr>
        <w:t xml:space="preserve"> </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          Настоящее Приложение №</w:t>
      </w:r>
      <w:r w:rsidR="00CB2B81" w:rsidRPr="00CB2B81">
        <w:rPr>
          <w:rFonts w:ascii="Times New Roman" w:eastAsia="Times New Roman" w:hAnsi="Times New Roman" w:cs="Times New Roman"/>
          <w:lang w:eastAsia="ru-RU"/>
        </w:rPr>
        <w:t>10</w:t>
      </w:r>
      <w:r w:rsidRPr="00F17F65">
        <w:rPr>
          <w:rFonts w:ascii="Times New Roman" w:eastAsia="Times New Roman" w:hAnsi="Times New Roman" w:cs="Times New Roman"/>
          <w:lang w:eastAsia="ru-RU"/>
        </w:rPr>
        <w:t xml:space="preserve"> к Регламенту </w:t>
      </w:r>
      <w:r w:rsidR="00AC60CC">
        <w:rPr>
          <w:rFonts w:ascii="Times New Roman" w:eastAsia="Times New Roman" w:hAnsi="Times New Roman" w:cs="Times New Roman"/>
          <w:lang w:eastAsia="ru-RU"/>
        </w:rPr>
        <w:t>оказания услуг на финансовых рынках</w:t>
      </w:r>
      <w:r w:rsidRPr="00F17F65">
        <w:rPr>
          <w:rFonts w:ascii="Times New Roman" w:eastAsia="Times New Roman" w:hAnsi="Times New Roman" w:cs="Times New Roman"/>
          <w:lang w:eastAsia="ru-RU"/>
        </w:rPr>
        <w:t xml:space="preserve"> </w:t>
      </w:r>
      <w:r w:rsidR="00120813">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предусматривает особые условия оказания услуг предусматривающему открытие и ведение индивидуального инвестиционного счета, предусмотренного Федеральным законом «О рынке ценных бумаг» от 22.04.1996 N 39-ФЗ (далее – Правила).</w:t>
      </w: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ind w:left="0" w:firstLine="360"/>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ОБЩИЕ ПОЛОЖЕНИЯ</w:t>
      </w: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 </w:t>
      </w:r>
    </w:p>
    <w:p w:rsidR="00F17F65" w:rsidRPr="00F17F65" w:rsidRDefault="00F17F65" w:rsidP="00F17F65">
      <w:pPr>
        <w:widowControl w:val="0"/>
        <w:autoSpaceDE w:val="0"/>
        <w:autoSpaceDN w:val="0"/>
        <w:adjustRightInd w:val="0"/>
        <w:spacing w:after="0" w:line="240" w:lineRule="auto"/>
        <w:ind w:firstLine="360"/>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Индивидуальный инвестиционный счет (далее – «</w:t>
      </w:r>
      <w:r w:rsidRPr="00F17F65">
        <w:rPr>
          <w:rFonts w:ascii="Times New Roman" w:eastAsia="Times New Roman" w:hAnsi="Times New Roman" w:cs="Times New Roman"/>
          <w:b/>
          <w:i/>
          <w:lang w:eastAsia="ru-RU"/>
        </w:rPr>
        <w:t>ИИС</w:t>
      </w:r>
      <w:r w:rsidRPr="00F17F65">
        <w:rPr>
          <w:rFonts w:ascii="Times New Roman" w:eastAsia="Times New Roman" w:hAnsi="Times New Roman" w:cs="Times New Roman"/>
          <w:lang w:eastAsia="ru-RU"/>
        </w:rPr>
        <w:t>») - счет внутреннего учета, который предназначен для обособленного учета денежных средств, ценных бумаг Клиента - физического лица, обязательств по договорам, заключенным по поручению и за счет указанного Клиента.</w:t>
      </w:r>
    </w:p>
    <w:p w:rsidR="00F17F65" w:rsidRPr="00F17F65" w:rsidRDefault="00F17F65" w:rsidP="00F17F65">
      <w:pPr>
        <w:widowControl w:val="0"/>
        <w:autoSpaceDE w:val="0"/>
        <w:autoSpaceDN w:val="0"/>
        <w:adjustRightInd w:val="0"/>
        <w:spacing w:after="0" w:line="240" w:lineRule="auto"/>
        <w:ind w:firstLine="360"/>
        <w:jc w:val="both"/>
        <w:rPr>
          <w:rFonts w:ascii="TimesNewRomanPSMT" w:eastAsia="Times New Roman" w:hAnsi="TimesNewRomanPSMT" w:cs="TimesNewRomanPSMT"/>
          <w:b/>
          <w:sz w:val="20"/>
          <w:szCs w:val="20"/>
          <w:lang w:eastAsia="ru-RU"/>
        </w:rPr>
      </w:pPr>
      <w:r w:rsidRPr="00F17F65">
        <w:rPr>
          <w:rFonts w:ascii="Times New Roman" w:eastAsia="Times New Roman" w:hAnsi="Times New Roman" w:cs="Times New Roman"/>
          <w:lang w:eastAsia="ru-RU"/>
        </w:rPr>
        <w:t xml:space="preserve">ИИС открывается Клиенту </w:t>
      </w:r>
      <w:r w:rsidR="00120813">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(далее «Клиент») находящимся на брокерском обслуживании в </w:t>
      </w:r>
      <w:r w:rsidR="00120813">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(далее «Брокер»), именуемыми в дальнейшем «Стороны»  и ведется в соответствии с Федеральным законом от 22.04.1996 № 39-ФЗ «О рынке ценных бумаг» (а также нормативными актами Российской Федерации, регламентирующими ИИС) на основании Соглашения ИИС заключённым путём присоединения Клиента к Правилам, при условии наличия в тексте Заявления о присоединении к Регламенту </w:t>
      </w:r>
      <w:r w:rsidR="00120813">
        <w:rPr>
          <w:rFonts w:ascii="Times New Roman" w:eastAsia="Times New Roman" w:hAnsi="Times New Roman" w:cs="Times New Roman"/>
          <w:lang w:eastAsia="ru-RU"/>
        </w:rPr>
        <w:t>оказания услуг на финансовых рынках ПАО «Совкомбанк»</w:t>
      </w:r>
      <w:r w:rsidRPr="00F17F65">
        <w:rPr>
          <w:rFonts w:ascii="Times New Roman" w:eastAsia="Times New Roman" w:hAnsi="Times New Roman" w:cs="Times New Roman"/>
          <w:lang w:eastAsia="ru-RU"/>
        </w:rPr>
        <w:t xml:space="preserve"> (далее – «Регламент»), отметки Клиента о намерении присоединиться к Правилам и условиям  Индивидуального Инвестиционного Счёта</w:t>
      </w:r>
      <w:r w:rsidR="00120813">
        <w:rPr>
          <w:rFonts w:ascii="Times New Roman" w:eastAsia="Times New Roman" w:hAnsi="Times New Roman" w:cs="Times New Roman"/>
          <w:lang w:eastAsia="ru-RU"/>
        </w:rPr>
        <w:t xml:space="preserve"> (далее – «Правила»),</w:t>
      </w:r>
      <w:r w:rsidRPr="00F17F65">
        <w:rPr>
          <w:rFonts w:ascii="Times New Roman" w:eastAsia="Times New Roman" w:hAnsi="Times New Roman" w:cs="Times New Roman"/>
          <w:lang w:eastAsia="ru-RU"/>
        </w:rPr>
        <w:t xml:space="preserve"> подразумевающих открытие и ведение индивидуального инвестиционного счета для учета денежных средств, ценных бумаг Клиента, обязательств по договорам, заключенным за счет и по поручению Клиента в соответствии с вышеуказанным Регламентом.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ИИС может быть открыт только Клиенту – физическому лицу, резиденту РФ. Соглашение ИИС не может быть заключено между Брокером и иным профессиональным участником рынка ценных бумаг, действующим за счет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вправе иметь только один ИИС, открываемый на срок не менее 3 (Трех) лет.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Брокер обязан сообщить об открытии или о закрытии ИИС в налоговый орган по месту своего нахождения не позднее 3 (Трех) дней со дня соответствующего события в электронной форме по телекоммуникационным каналам связи.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Клиент может заключить Соглашение ИИС на ведение ИИС как у Брокера, так и у другого профессионального участника рынка ценных бумаг с переводом всех денежных средств, ценных бумаг, учитываемых на ИИС (далее – «</w:t>
      </w:r>
      <w:r w:rsidRPr="00F17F65">
        <w:rPr>
          <w:rFonts w:ascii="Times New Roman" w:eastAsia="Times New Roman" w:hAnsi="Times New Roman" w:cs="Times New Roman"/>
          <w:b/>
          <w:i/>
          <w:lang w:eastAsia="ru-RU"/>
        </w:rPr>
        <w:t>Активы</w:t>
      </w:r>
      <w:r w:rsidRPr="00F17F65">
        <w:rPr>
          <w:rFonts w:ascii="Times New Roman" w:eastAsia="Times New Roman" w:hAnsi="Times New Roman" w:cs="Times New Roman"/>
          <w:lang w:eastAsia="ru-RU"/>
        </w:rPr>
        <w:t>»), на другой ИИС, открытый тому же физическому лицу у другого профессионального участника рынка ценных бумаг, о чем Клиент обязан уведомить Брокера. Ранее заключенное Соглашение ИИС с Брокером будет подлежать прекращению в срок, установленный в пункте 11.4 настоящих Правил.</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На ИИС допускается внесение Клиентом только денежных средств, за исключением случаев перевода Активов с ИИС стороннего Брокера. При этом совокупная сумма денежных средств, внесенных на ИИС Клиентом в течение календарного года, не может превышать </w:t>
      </w:r>
      <w:r w:rsidR="00120813">
        <w:rPr>
          <w:rFonts w:ascii="Times New Roman" w:eastAsia="Times New Roman" w:hAnsi="Times New Roman" w:cs="Times New Roman"/>
          <w:lang w:eastAsia="ru-RU"/>
        </w:rPr>
        <w:t>сумму, установленную законодательством РФ</w:t>
      </w:r>
      <w:r w:rsidRPr="00F17F65">
        <w:rPr>
          <w:rFonts w:ascii="Times New Roman" w:eastAsia="Times New Roman" w:hAnsi="Times New Roman" w:cs="Times New Roman"/>
          <w:lang w:eastAsia="ru-RU"/>
        </w:rPr>
        <w:t xml:space="preserve">. В случае превышения установленной суммы либо в случае поступления денежных средств со стороны третьих лиц, Брокер вправе осуществить зачисление </w:t>
      </w:r>
      <w:r w:rsidRPr="00F17F65">
        <w:rPr>
          <w:rFonts w:ascii="Times New Roman" w:eastAsia="Times New Roman" w:hAnsi="Times New Roman" w:cs="Times New Roman"/>
          <w:lang w:eastAsia="ru-RU"/>
        </w:rPr>
        <w:lastRenderedPageBreak/>
        <w:t xml:space="preserve">таких денежных средств на обычный Брокерский счёт Клиента. В случае если при заключении Соглашения ИИС Клиент указал на наличие соглашения, предусматривающего ведение ИИС в другой организации, Брокер вправе отказать Клиенту в зачислении Активов на счёт до получения сведений о физическом лице и его ИИС, открытом у другого профессионального участника рынка ценных бумаг, в соответствии с требованиями законодательства.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Вывод и ввод ценных бумаг с/на ИИС Клиента запрещен, за исключением перевода ценных бумаг, учитываемых на ИИС Клиента, на другой ИИС, открытый тому же физическому лицу у другого профессионального участника рынка ценных бумаг, а также за исключением случаев предусмотренных действующим законодательством. В случае поступления поручения от Клиента на зачисление ценных бумаг, Брокер вправе осуществить зачисление на иные Счета депо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Вывод денежных средств Клиентом с ИИС запрещен, за исключением случаев, указанных в пунктах 3.3.12 - 3.3.13 настоящих Правил. В случае вывода денежных средств, ИИС Клиента будет закрыт в порядке, установленном настоящими Договором. При закрытии ИИС ранее 3 (Трех) лет Клиент теряет льготы по налогообложению (за исключением перевода всех Активов, учитываемых на ИИС Клиента, на другой ИИС, открытый тому же физическому лицу у другого профессионального участника рынка ценных бумаг). Все ранее полученные по льготе суммы должны быть возвращены Клиентом в бюджет.</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Финансовый результат, а также налоговая база по операциям ИИС определяется отдельно от финансового результата по иным операциям и счетам Клиента.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Льгота по налогообложению предоставляется Клиенту в одном из следующих вариантов налогового вычета: </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b/>
          <w:lang w:eastAsia="ru-RU"/>
        </w:rPr>
        <w:t>Вариант А</w:t>
      </w:r>
      <w:r w:rsidRPr="00F17F65">
        <w:rPr>
          <w:rFonts w:ascii="Times New Roman" w:eastAsia="Times New Roman" w:hAnsi="Times New Roman" w:cs="Times New Roman"/>
          <w:lang w:eastAsia="ru-RU"/>
        </w:rPr>
        <w:t xml:space="preserve"> – в сумме денежных средств, внесенных налогоплательщиком в налоговом периоде на ИИС; </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b/>
          <w:lang w:eastAsia="ru-RU"/>
        </w:rPr>
        <w:t>Вариант Б</w:t>
      </w:r>
      <w:r w:rsidRPr="00F17F65">
        <w:rPr>
          <w:rFonts w:ascii="Times New Roman" w:eastAsia="Times New Roman" w:hAnsi="Times New Roman" w:cs="Times New Roman"/>
          <w:lang w:eastAsia="ru-RU"/>
        </w:rPr>
        <w:t xml:space="preserve"> – в сумме доходов, полученных по операциям, учитываемым на ИИС.</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Эти и иные льготы по налогообложению предоставляются Клиенту в соответствии с нормами Налогового Кодекса Российской Федерации. Клиент обязан выбрать вариант налогового вычета до конца календарного года с даты присоединения к Соглашению ИИС.</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Выбор варианта льготы по налогообложению подтверждается Клиентом путём подписания Заявления на выбор варианта налогового вычета (Приложение № 9 к настоящим Правилам).</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Клиент не может воспользоваться правом налогового вычета Варианта Б, если хотя бы один раз в период действия Соглашения ИИС (а также в период действия иного ИИС, прекращённого с переводом всех Активов, учитываемых на этом ИИС, на другой ИИС, открытый этому же Клиенту) до использования этого права воспользовался льготой на предоставление инвестиционного вычета, предусмотренного Вариантом А.</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случае обращения Клиента с запросом предоставления Банком Справки подтверждающей факт зачисления денежных средств на ИИС (Приложение № 8 к настоящим Правилам), Банк расценивает такой запрос как фактическое использование Клиентом налогового вычета по Варианту А.</w:t>
      </w:r>
    </w:p>
    <w:p w:rsidR="00F17F65" w:rsidRPr="00F17F65" w:rsidRDefault="00F17F65" w:rsidP="00F17F65">
      <w:pPr>
        <w:spacing w:after="0" w:line="240" w:lineRule="auto"/>
        <w:jc w:val="both"/>
        <w:rPr>
          <w:rFonts w:ascii="Times New Roman" w:eastAsia="Times New Roman" w:hAnsi="Times New Roman" w:cs="Times New Roman"/>
        </w:rPr>
      </w:pPr>
    </w:p>
    <w:p w:rsidR="00F17F65" w:rsidRPr="00F17F65" w:rsidRDefault="00F17F65" w:rsidP="00F17F65">
      <w:pPr>
        <w:widowControl w:val="0"/>
        <w:numPr>
          <w:ilvl w:val="0"/>
          <w:numId w:val="22"/>
        </w:numPr>
        <w:autoSpaceDE w:val="0"/>
        <w:autoSpaceDN w:val="0"/>
        <w:spacing w:after="0" w:line="240" w:lineRule="auto"/>
        <w:ind w:left="0" w:firstLine="360"/>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ПРЕДМЕТ ДОГОВОРА</w:t>
      </w:r>
    </w:p>
    <w:p w:rsidR="00F17F65" w:rsidRPr="00F17F65" w:rsidRDefault="00F17F65" w:rsidP="00F17F65">
      <w:pPr>
        <w:spacing w:after="0" w:line="240" w:lineRule="auto"/>
        <w:ind w:left="567" w:hanging="567"/>
        <w:jc w:val="both"/>
        <w:rPr>
          <w:rFonts w:ascii="Times New Roman" w:eastAsia="Times New Roman" w:hAnsi="Times New Roman" w:cs="Times New Roman"/>
          <w:lang w:eastAsia="ru-RU"/>
        </w:rPr>
      </w:pP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Брокер обязуется за вознаграждение совершать по поручению Клиента юридические и иные действия, связанные с совершением сделок с ценными бумагами, от своего имени, но за счёт Клиента, либо от имени и за счёт Клиента, на условиях и в порядке, установленном настоящими Правилами.</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 xml:space="preserve">Клиент поручает, а Брокер принимает на себя обязательства по оказанию Клиенту брокерских услуг на </w:t>
      </w:r>
      <w:hyperlink r:id="rId8" w:tooltip="Скачать" w:history="1">
        <w:r w:rsidRPr="00F17F65">
          <w:rPr>
            <w:rFonts w:ascii="Times New Roman" w:eastAsia="Times New Roman" w:hAnsi="Times New Roman" w:cs="Times New Roman"/>
          </w:rPr>
          <w:t>фондовом рынке ПАО Московская Биржа</w:t>
        </w:r>
      </w:hyperlink>
      <w:r w:rsidRPr="00F17F65">
        <w:rPr>
          <w:rFonts w:ascii="Arial" w:eastAsia="Times New Roman" w:hAnsi="Arial" w:cs="Arial"/>
          <w:color w:val="262626"/>
          <w:sz w:val="20"/>
          <w:szCs w:val="20"/>
        </w:rPr>
        <w:t> </w:t>
      </w:r>
      <w:r w:rsidRPr="00F17F65">
        <w:rPr>
          <w:rFonts w:ascii="Times New Roman" w:eastAsia="Times New Roman" w:hAnsi="Times New Roman" w:cs="Times New Roman"/>
        </w:rPr>
        <w:t>(далее – «</w:t>
      </w:r>
      <w:r w:rsidRPr="00F17F65">
        <w:rPr>
          <w:rFonts w:ascii="Times New Roman" w:eastAsia="Times New Roman" w:hAnsi="Times New Roman" w:cs="Times New Roman"/>
          <w:b/>
          <w:i/>
        </w:rPr>
        <w:t>Биржа</w:t>
      </w:r>
      <w:r w:rsidRPr="00F17F65">
        <w:rPr>
          <w:rFonts w:ascii="Times New Roman" w:eastAsia="Times New Roman" w:hAnsi="Times New Roman" w:cs="Times New Roman"/>
          <w:b/>
        </w:rPr>
        <w:t>»</w:t>
      </w:r>
      <w:r w:rsidRPr="00F17F65">
        <w:rPr>
          <w:rFonts w:ascii="Times New Roman" w:eastAsia="Times New Roman" w:hAnsi="Times New Roman" w:cs="Times New Roman"/>
        </w:rPr>
        <w:t>).</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Брокер оказывает брокерские услуги Клиенту на условиях и в порядке определяемым настоящим Договором, а также регламентом проведения торгов, правилами расчетов Биржи.</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Ценные бумаги, учитываемые на ИИС, учитываются и/или хранятся на Счете(ах) депо Клиента, предназначенном(ых) для учета ценных бумаг в составе ИИС, в соответствии с пунктом 3.3.4 настоящих Правил.</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Договор определяет порядок приобретения, владения и продажи Клиентом ценных бумаг, а также права, обязанности и ответственность Сторон при выполнении этих операции.</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lastRenderedPageBreak/>
        <w:t>До подписания Соглашения ИИС Клиент:</w:t>
      </w:r>
    </w:p>
    <w:p w:rsidR="00F17F65" w:rsidRPr="00F17F65" w:rsidRDefault="00F17F65" w:rsidP="00F17F65">
      <w:pPr>
        <w:spacing w:after="0" w:line="240" w:lineRule="auto"/>
        <w:ind w:left="851" w:hanging="284"/>
        <w:jc w:val="both"/>
        <w:rPr>
          <w:rFonts w:ascii="Times New Roman" w:eastAsia="Times New Roman" w:hAnsi="Times New Roman" w:cs="Times New Roman"/>
        </w:rPr>
      </w:pPr>
      <w:r w:rsidRPr="00F17F65">
        <w:rPr>
          <w:rFonts w:ascii="Times New Roman" w:eastAsia="Times New Roman" w:hAnsi="Times New Roman" w:cs="Times New Roman"/>
        </w:rPr>
        <w:t>-</w:t>
      </w:r>
      <w:r w:rsidRPr="00F17F65">
        <w:rPr>
          <w:rFonts w:ascii="Times New Roman" w:eastAsia="Times New Roman" w:hAnsi="Times New Roman" w:cs="Times New Roman"/>
        </w:rPr>
        <w:tab/>
        <w:t xml:space="preserve">уведомлен Брокером о своем праве на получение информации, указанной в ст. 6 Федерального закона от 05.03.1999 № 46-ФЗ «О защите прав и законных интересов инвесторов на рынке ценных бумаг» (далее – Закон о защите прав инвесторов); </w:t>
      </w:r>
    </w:p>
    <w:p w:rsidR="00F17F65" w:rsidRPr="00F17F65" w:rsidRDefault="00F17F65" w:rsidP="00F17F65">
      <w:pPr>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проинформирован Брокером о правах и гарантиях, предоставленных ему Законом о защите прав инвесторов;</w:t>
      </w:r>
    </w:p>
    <w:p w:rsidR="00F17F65" w:rsidRPr="00F17F65" w:rsidRDefault="00F17F65" w:rsidP="00F17F65">
      <w:pPr>
        <w:autoSpaceDE w:val="0"/>
        <w:autoSpaceDN w:val="0"/>
        <w:spacing w:after="0" w:line="240" w:lineRule="auto"/>
        <w:ind w:left="851" w:hanging="284"/>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ознакомился с текстом Закона о защите прав инвесторов;</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уведомлен о совмещении </w:t>
      </w:r>
      <w:r w:rsidR="00B53054">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деятельности в качестве Брокера с иными видами профессиональной деятельности на рынке ценных бумаг;</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ознакомился с действующими Тарифами Брокера;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подтверждает, что на момент заключения Соглашения ИИС Клиент является налоговым резидентом Российской Федерации в соответствии с налоговым Законодательством;</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подтверждает достоверность, полноту, подлинность и актуальность сведений и документов, предоставленных Клиентом Брокеру, и/или переданных Клиентом Брокеру от третьих лиц, в том числе справок, иных документов налоговых органов, от иных профессиональных участников рынка ценных бумаг, с которым у Клиента ранее были заключены соглашения на ведение ИИС, депозитарные договоры;</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проинформирован о рисках, связанных с осуществлением операций на рынке ценных бумаг, понимает и осознает их;</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подтверждает свою осведомленность и компетентность, а также согласие с тем, что инвестирование денежных средств в ценные бумаги связано с высокой степенью коммерческого и финансового риска, который может привести к возникновению у Клиента убытков, и в этой связи Клиент соглашается не предъявлять Брокеру претензий имущественного и неимущественного характера и не считать Брокера ответственным за возникновение у Клиента убытков, возникших в результате исполнения и/или неисполнения поручений Клиента. </w:t>
      </w:r>
    </w:p>
    <w:p w:rsidR="00F17F65" w:rsidRPr="00F17F65" w:rsidRDefault="00F17F65" w:rsidP="00F17F65">
      <w:pPr>
        <w:widowControl w:val="0"/>
        <w:autoSpaceDE w:val="0"/>
        <w:autoSpaceDN w:val="0"/>
        <w:spacing w:after="0" w:line="240" w:lineRule="auto"/>
        <w:ind w:firstLine="567"/>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firstLine="567"/>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ПРАВА И ОБЯЗАННОСТИ СТОРОН</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Брокер обязан:</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Не позднее 1 (Одного) рабочего дня с даты заключения Соглашения ИИС открыть Клиенту ИИС № </w:t>
      </w:r>
      <w:r w:rsidRPr="00F17F65">
        <w:rPr>
          <w:rFonts w:ascii="Times New Roman" w:eastAsia="Times New Roman" w:hAnsi="Times New Roman" w:cs="Times New Roman"/>
          <w:highlight w:val="lightGray"/>
          <w:lang w:eastAsia="ru-RU"/>
        </w:rPr>
        <w:t>____________________________</w:t>
      </w:r>
      <w:r w:rsidRPr="00F17F65">
        <w:rPr>
          <w:rFonts w:ascii="Times New Roman" w:eastAsia="Times New Roman" w:hAnsi="Times New Roman" w:cs="Times New Roman"/>
          <w:lang w:eastAsia="ru-RU"/>
        </w:rPr>
        <w:t xml:space="preserve"> для ведения учета денежных средств Клиента в российских рублях, а также произвести все необходимые действия по регистрации Клиента на Бирже в порядке и в сроки, установленные правилами торгов соответствующей Биржи.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Присвоить Клиенту регистрационный код № </w:t>
      </w:r>
      <w:r w:rsidRPr="00F17F65">
        <w:rPr>
          <w:rFonts w:ascii="Times New Roman" w:eastAsia="Times New Roman" w:hAnsi="Times New Roman" w:cs="Times New Roman"/>
          <w:highlight w:val="lightGray"/>
          <w:lang w:eastAsia="ru-RU"/>
        </w:rPr>
        <w:t>______</w:t>
      </w:r>
      <w:r w:rsidRPr="00F17F65">
        <w:rPr>
          <w:rFonts w:ascii="Times New Roman" w:eastAsia="Times New Roman" w:hAnsi="Times New Roman" w:cs="Times New Roman"/>
          <w:lang w:eastAsia="ru-RU"/>
        </w:rPr>
        <w:t xml:space="preserve">, который Клиент указывает во всех исходящих от него документах.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Исполнять поручения Клиента от своего имени или от имени Клиента и за счет Клиента на условиях, указываемых Клиентом в поручениях с учетом ограничений, установленных нормативными правовыми актами и Правилами.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исполнении поручений руководствоваться интересами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Предоставлять Клиенту отчеты с подписью уполномоченного лица Брокера обо всех сделках с ценными бумагами Клиента и расчетах по этим сделкам. Отчеты Клиенту, при условии ненулевого сальдо по счету, предоставляются не реже одного раза в месяц, посредством факсимильной связи, по электронной почте или на бумажном носителе, в зависимости от выбранного способа получения отчетов, указанных Клиентом в Анкете Клиента (Приложение № 7 к Регламенту).</w:t>
      </w:r>
    </w:p>
    <w:p w:rsidR="00F17F65" w:rsidRPr="00F17F65" w:rsidRDefault="00F17F65" w:rsidP="00F17F65">
      <w:pPr>
        <w:widowControl w:val="0"/>
        <w:autoSpaceDE w:val="0"/>
        <w:autoSpaceDN w:val="0"/>
        <w:spacing w:after="0" w:line="240" w:lineRule="auto"/>
        <w:ind w:left="1276"/>
        <w:contextualSpacing/>
        <w:jc w:val="both"/>
        <w:rPr>
          <w:rFonts w:ascii="Times New Roman" w:eastAsia="Times New Roman" w:hAnsi="Times New Roman" w:cs="Times New Roman"/>
          <w:highlight w:val="red"/>
          <w:lang w:eastAsia="ru-RU"/>
        </w:rPr>
      </w:pPr>
      <w:r w:rsidRPr="00F17F65">
        <w:rPr>
          <w:rFonts w:ascii="Times New Roman" w:eastAsia="Times New Roman" w:hAnsi="Times New Roman" w:cs="Times New Roman"/>
          <w:lang w:eastAsia="ru-RU"/>
        </w:rPr>
        <w:t xml:space="preserve">В качестве налогового агента по операциям с ценными бумагами, учитываемым на ИИС Клиента, исчислить, удержать и </w:t>
      </w:r>
      <w:r w:rsidRPr="00F17F65">
        <w:rPr>
          <w:rFonts w:ascii="Times New Roman" w:eastAsia="Times New Roman" w:hAnsi="Times New Roman" w:cs="Times New Roman"/>
          <w:bCs/>
          <w:color w:val="000000"/>
          <w:lang w:eastAsia="ru-RU"/>
        </w:rPr>
        <w:t>перечислить в бюджет</w:t>
      </w:r>
      <w:r w:rsidRPr="00F17F65">
        <w:rPr>
          <w:rFonts w:ascii="Times New Roman" w:eastAsia="Times New Roman" w:hAnsi="Times New Roman" w:cs="Times New Roman"/>
          <w:lang w:eastAsia="ru-RU"/>
        </w:rPr>
        <w:t xml:space="preserve"> суммы налога на доходы Клиента </w:t>
      </w:r>
      <w:r w:rsidRPr="00F17F65">
        <w:rPr>
          <w:rFonts w:ascii="Times New Roman" w:eastAsia="Times New Roman" w:hAnsi="Times New Roman" w:cs="Times New Roman"/>
          <w:bCs/>
          <w:color w:val="000000"/>
          <w:lang w:eastAsia="ru-RU"/>
        </w:rPr>
        <w:t>в соответствии с нормами  действующего законодательства</w:t>
      </w:r>
      <w:r w:rsidRPr="00F17F65">
        <w:rPr>
          <w:rFonts w:ascii="Times New Roman" w:eastAsia="Times New Roman" w:hAnsi="Times New Roman" w:cs="Times New Roman"/>
          <w:color w:val="000000"/>
          <w:lang w:eastAsia="ru-RU"/>
        </w:rPr>
        <w:t xml:space="preserve">, </w:t>
      </w:r>
      <w:r w:rsidRPr="00F17F65">
        <w:rPr>
          <w:rFonts w:ascii="Times New Roman" w:eastAsia="Times New Roman" w:hAnsi="Times New Roman" w:cs="Times New Roman"/>
          <w:bCs/>
          <w:color w:val="000000"/>
          <w:lang w:eastAsia="ru-RU"/>
        </w:rPr>
        <w:t>в том числе</w:t>
      </w:r>
      <w:r w:rsidRPr="00F17F65">
        <w:rPr>
          <w:rFonts w:ascii="Times New Roman" w:eastAsia="Times New Roman" w:hAnsi="Times New Roman" w:cs="Times New Roman"/>
          <w:lang w:eastAsia="ru-RU"/>
        </w:rPr>
        <w:t xml:space="preserve"> на дату прекращения Соглашения ИИС, в том числе в случае расторжения в одностороннем порядке по основаниям, предусмотренным Правилами, до истечения 3 (Трех) лет с даты заключения с Клиентом Соглашения ИИС.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обязанности, предусмотренные Правилами и Приложениями к ним.</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Брокер имеет право:</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color w:val="FF0000"/>
          <w:lang w:eastAsia="ru-RU"/>
        </w:rPr>
      </w:pPr>
      <w:r w:rsidRPr="00F17F65">
        <w:rPr>
          <w:rFonts w:ascii="Times New Roman" w:eastAsia="Times New Roman" w:hAnsi="Times New Roman" w:cs="Times New Roman"/>
          <w:lang w:eastAsia="ru-RU"/>
        </w:rPr>
        <w:t>Не принимать от представителя Клиента поручений и иных сообщений и не исполнять их в случае, если Клиент/представитель Клиента предоставил Брокеру доверенность не по форме, установленной в пункте 3.3.2 и пункте 3.3.8</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настоящего Договора.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Приостановить исполнение обязательств как по Соглашению ИИС в целом, так и в его части (в части определенных услуг), в случае неисполнения Клиентом обусловленных Правилами обязательств, либо наличия обстоятельств, очевидно свидетельствующих о том, что такое исполнение не будет произведено в установленный срок и/или получение Брокером документов, подтверждающих изменение правового статуса Клиента, влияющего на его правоспособность (дееспособность), и потребовать возмещения убытков.</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По своему усмотрению запрашивать у Клиента дополнительные документы, необходимые Брокеру для соблюдения законодательства Российской Федерации и/или оказания Клиенту услуг, предусмотренных Правилами. В случае непредставления Клиентом запрашиваемых документов в сроки, указанные в запросе, Брокер вправе приостановить полностью или частично оказание услуг по Договору путем письменного уведомления Клиента не позднее, чем за 1 (Один) день до планируемой даты приостановления услуг.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Отказать в исполнении Поручения на сделку/операцию, содержащую признаки манипулирования, использования инсайдерской информации, легализации (отмывания) доходов, полученных преступным путем, или финансирования терроризма, иные признаки, в отношении которых у Брокера возникают подозрения, что сделка/операция совершаются с целью нарушения требований Законодательства.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Передать сведения о Клиенте и его ИИС другому профессиональному участнику рынка ценных бумаг, с которым Клиент заключит новый договор на ведение ИИС в составе и порядке, предусмотренном законодательством.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права, предусмотренные Правилами и Приложениями к ним.</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b/>
          <w:bCs/>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Клиент обязан:</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Предоставить письменное Заявление об отсутствии у Клиента соглашения с другим профессиональным участником рынка ценных бумаг на ведение ИИС или, что такое соглашение будет прекращено не позднее 30 (Тридцати) календарных дней с даты предоставления Брокеру указанного Заявления по форме, установленной в Приложении № 1</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 xml:space="preserve">к настоящим Правилам.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Незамедлительно, но не позднее 1 (Одного) рабочего дня, уведомлять Брокера об изменении своих фамилии, имени, адреса регистрации, статуса резидентства, платежных реквизитов и иных сведений, содержащихся в представленных Брокеру документах.</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При открытии ИИС дополнительно открыть брокерский счёт для обслуживания на Фондовом рынке ПАО Московская Биржа и открыть счет депо в Депозитарии Брокера. Данное условие является необходимым для приема Брокером поручений на совершение сделок с ценными бумагами в сроки и на условиях, предусмотренных Условиями осуществления депозитарной деятельности </w:t>
      </w:r>
      <w:r w:rsidR="00B53054">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w:t>
      </w:r>
    </w:p>
    <w:p w:rsidR="00F17F65" w:rsidRPr="00F17F65" w:rsidRDefault="00F17F65" w:rsidP="00F17F65">
      <w:pPr>
        <w:widowControl w:val="0"/>
        <w:tabs>
          <w:tab w:val="left" w:pos="284"/>
        </w:tabs>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ab/>
        <w:t>Если иное не предусмотрено законодательством, Правилами или условиями эмиссии и обращения конкретного выпуска ценных бумаг, Счет депо открывается Клиенту в Депозитарии Брокера.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Обеспечивать наличие денежных средств на ИИС и ценных бумаг на своем Счете депо, необходимых для исполнения Брокером обязательств по заключенным по поручению и в интересах Клиента сделкам.</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Оплачивать вознаграждение и расходы Брокера в сроки и в порядке, определенные Регламентом в соответствии с Тарифами (Тарифными планами).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sidDel="00A80B7E">
        <w:rPr>
          <w:rFonts w:ascii="Times New Roman" w:eastAsia="Times New Roman" w:hAnsi="Times New Roman" w:cs="Times New Roman"/>
          <w:lang w:eastAsia="ru-RU"/>
        </w:rPr>
        <w:t>Уплачивать Брокеру все комиссии и сборы, взимаемые Биржей</w:t>
      </w:r>
      <w:r w:rsidRPr="00F17F65">
        <w:rPr>
          <w:rFonts w:ascii="Times New Roman" w:eastAsia="Times New Roman" w:hAnsi="Times New Roman" w:cs="Times New Roman"/>
          <w:lang w:eastAsia="ru-RU"/>
        </w:rPr>
        <w:t>.</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Предоставить Брокеру надлежащим образом оформленные доверенности, а также иные документы и информацию, необходимые Брокеру для совершения действий по настоящему Соглашению ИИС, а также необходимые Брокеру для исполнения им своих обязанностей, </w:t>
      </w:r>
      <w:r w:rsidRPr="00F17F65">
        <w:rPr>
          <w:rFonts w:ascii="Times New Roman" w:eastAsia="Times New Roman" w:hAnsi="Times New Roman" w:cs="Times New Roman"/>
          <w:lang w:eastAsia="ru-RU"/>
        </w:rPr>
        <w:lastRenderedPageBreak/>
        <w:t>предусмотренных нормативными правовыми актами Российской Федерации.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Передавать Поручения для исполнения в сроки, предусмотренные условиями Правил.</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Подавать Поручение на продажу на торгах и Поручение на покупку на торгах только в пределах положительных остатков на своем Счете депо и ИИС.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подаче Поручений в соответствии с пунктом 4.7</w:t>
      </w:r>
      <w:r w:rsidRPr="00F17F65">
        <w:rPr>
          <w:rFonts w:ascii="Times New Roman" w:eastAsia="Times New Roman" w:hAnsi="Times New Roman" w:cs="Times New Roman"/>
          <w:b/>
          <w:color w:val="0070C0"/>
          <w:lang w:eastAsia="ru-RU"/>
        </w:rPr>
        <w:t xml:space="preserve"> </w:t>
      </w:r>
      <w:r w:rsidRPr="00F17F65">
        <w:rPr>
          <w:rFonts w:ascii="Times New Roman" w:eastAsia="Times New Roman" w:hAnsi="Times New Roman" w:cs="Times New Roman"/>
          <w:lang w:eastAsia="ru-RU"/>
        </w:rPr>
        <w:t>настоящих Правил в течение одного календарного месяца оформить и предоставить Брокеру должным образом оформленный оригинал поручения на осуществление сделок с ценными бумагами.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расторжении Соглашения ИИС представить Брокеру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 установленной в Приложении № 4</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к настоящим Правилам, уведомив Брокера о планируемом расторжении в срок, установленный в пункте 11.2 настоящих Правил.</w:t>
      </w:r>
    </w:p>
    <w:p w:rsidR="00F17F65" w:rsidRPr="00F17F65" w:rsidRDefault="00F17F65" w:rsidP="00F17F65">
      <w:pPr>
        <w:widowControl w:val="0"/>
        <w:autoSpaceDE w:val="0"/>
        <w:autoSpaceDN w:val="0"/>
        <w:spacing w:after="0" w:line="240" w:lineRule="auto"/>
        <w:ind w:left="1276"/>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Перечисление денежных средств с ИИС осуществляется только на счета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течение 5 (Пяти) рабочих дней письменно уведомить Брокера 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 заключенного с другим профессиональным участником рынка ценных бумаг.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Подписывая Соглашение ИИС с Брокером в рамках перехода от другого профессионального участника рынка ценных бумаг, тем самым обязуется надлежащим образом в установленный срок выполнить в полном объеме </w:t>
      </w:r>
      <w:r w:rsidRPr="00F17F65">
        <w:rPr>
          <w:rFonts w:ascii="Times New Roman" w:eastAsia="Times New Roman" w:hAnsi="Times New Roman" w:cs="Times New Roman"/>
          <w:b/>
          <w:lang w:eastAsia="ru-RU"/>
        </w:rPr>
        <w:t>все</w:t>
      </w:r>
      <w:r w:rsidRPr="00F17F65">
        <w:rPr>
          <w:rFonts w:ascii="Times New Roman" w:eastAsia="Times New Roman" w:hAnsi="Times New Roman" w:cs="Times New Roman"/>
          <w:lang w:eastAsia="ru-RU"/>
        </w:rPr>
        <w:t xml:space="preserve"> следующие обязанности:</w:t>
      </w:r>
    </w:p>
    <w:p w:rsidR="00F17F65" w:rsidRPr="00F17F65" w:rsidRDefault="00F17F65" w:rsidP="00F17F65">
      <w:pPr>
        <w:numPr>
          <w:ilvl w:val="3"/>
          <w:numId w:val="22"/>
        </w:numPr>
        <w:tabs>
          <w:tab w:val="left" w:pos="2127"/>
        </w:tabs>
        <w:spacing w:after="0" w:line="240" w:lineRule="auto"/>
        <w:ind w:left="2127" w:hanging="851"/>
        <w:jc w:val="both"/>
        <w:rPr>
          <w:rFonts w:ascii="Times New Roman" w:eastAsia="Times New Roman" w:hAnsi="Times New Roman" w:cs="Times New Roman"/>
        </w:rPr>
      </w:pPr>
      <w:r w:rsidRPr="00F17F65">
        <w:rPr>
          <w:rFonts w:ascii="Times New Roman" w:eastAsia="Times New Roman" w:hAnsi="Times New Roman" w:cs="Times New Roman"/>
        </w:rPr>
        <w:t>в течение 30 (Тридцати) календарных дней с даты заключения Соглашения ИИС, прекратить (расторгнуть) с вышеуказанным профессиональным участником рынка ценных бумаг договор на ведение ИИС;</w:t>
      </w:r>
    </w:p>
    <w:p w:rsidR="00F17F65" w:rsidRPr="00F17F65" w:rsidRDefault="00F17F65" w:rsidP="00F17F65">
      <w:pPr>
        <w:numPr>
          <w:ilvl w:val="3"/>
          <w:numId w:val="22"/>
        </w:numPr>
        <w:tabs>
          <w:tab w:val="left" w:pos="2127"/>
        </w:tabs>
        <w:spacing w:after="0" w:line="240" w:lineRule="auto"/>
        <w:ind w:left="2127" w:hanging="851"/>
        <w:jc w:val="both"/>
        <w:rPr>
          <w:rFonts w:ascii="Times New Roman" w:eastAsia="Times New Roman" w:hAnsi="Times New Roman" w:cs="Times New Roman"/>
        </w:rPr>
      </w:pPr>
      <w:r w:rsidRPr="00F17F65">
        <w:rPr>
          <w:rFonts w:ascii="Times New Roman" w:eastAsia="Times New Roman" w:hAnsi="Times New Roman" w:cs="Times New Roman"/>
        </w:rPr>
        <w:t>в течение 30 (Тридцати) календарных дней с даты заключения Соглашения ИИС , перевести на ИИС, открытый у Брокера, все учтенные Активы на ИИС, открытом Клиенту у вышеуказанного профессионального участника рынка ценных бумаг;</w:t>
      </w:r>
    </w:p>
    <w:p w:rsidR="00F17F65" w:rsidRPr="00F17F65" w:rsidRDefault="00F17F65" w:rsidP="00F17F65">
      <w:pPr>
        <w:numPr>
          <w:ilvl w:val="3"/>
          <w:numId w:val="22"/>
        </w:numPr>
        <w:tabs>
          <w:tab w:val="left" w:pos="2127"/>
        </w:tabs>
        <w:spacing w:after="0" w:line="240" w:lineRule="auto"/>
        <w:ind w:firstLine="130"/>
        <w:jc w:val="both"/>
        <w:rPr>
          <w:rFonts w:ascii="Times New Roman" w:eastAsia="Times New Roman" w:hAnsi="Times New Roman" w:cs="Times New Roman"/>
        </w:rPr>
      </w:pPr>
      <w:r w:rsidRPr="00F17F65">
        <w:rPr>
          <w:rFonts w:ascii="Times New Roman" w:eastAsia="Times New Roman" w:hAnsi="Times New Roman" w:cs="Times New Roman"/>
        </w:rPr>
        <w:t>в течение 30 (Тридцати) календарных дней с даты заключения Соглашения ИИС предоставить Брокеру от вышеуказанного профессионального участника рынка ценных бумаг справку, содержащую предусмотренные уполномоченным федеральным органом сведения о Клиенте и его ИИС, который был открыт Клиенту у указанного профессионального участника рынка ценных бумаг в соответствии с соглашением на ведение ИИС, с приложением оттиска печати профессионального участника рынка ценных бумаг и подписью его уполномоченного лица (далее – «</w:t>
      </w:r>
      <w:r w:rsidRPr="00F17F65">
        <w:rPr>
          <w:rFonts w:ascii="Times New Roman" w:eastAsia="Times New Roman" w:hAnsi="Times New Roman" w:cs="Times New Roman"/>
          <w:b/>
          <w:i/>
        </w:rPr>
        <w:t>Справка</w:t>
      </w:r>
      <w:r w:rsidRPr="00F17F65">
        <w:rPr>
          <w:rFonts w:ascii="Times New Roman" w:eastAsia="Times New Roman" w:hAnsi="Times New Roman" w:cs="Times New Roman"/>
        </w:rPr>
        <w:t>»), надлежаще заверенную копию расторгнутого соглашения ИИС, а также иные сведения и документы, необходимые для подтверждения того, что поступающие Брокеру Активы Клиента поступают с ИИС, открытого Клиенту у вышеуказанного профессионального участника рынка ценных бумаг.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До исполнения в полном объеме обязанностей предусмотренных в пункте 3.3.14</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настоящих Правил, не передавать денежные средства на ИИС, открытый Клиенту у Брокера.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Зачислять на ИИС денежные средства только с собственных банковских счетов. Денежные средства, поступившие от третьего лица в результате операций, не связанных с расчетами по сделкам, заключенным Брокером в интересах Клиента, не зачисляются Брокером на ИИС.</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Не передавать денежные средства на ИИС, открытый Клиенту Брокером, если в результате такой передачи совокупная сумма денежных средств, переданных в течение соответствующего календарного года, превысит </w:t>
      </w:r>
      <w:r w:rsidR="00E817DB">
        <w:rPr>
          <w:rFonts w:ascii="Times New Roman" w:eastAsia="Times New Roman" w:hAnsi="Times New Roman" w:cs="Times New Roman"/>
          <w:lang w:eastAsia="ru-RU"/>
        </w:rPr>
        <w:t>сумму, установленную законодательством РФ</w:t>
      </w:r>
      <w:r w:rsidRPr="00F17F65">
        <w:rPr>
          <w:rFonts w:ascii="Times New Roman" w:eastAsia="Times New Roman" w:hAnsi="Times New Roman" w:cs="Times New Roman"/>
          <w:lang w:eastAsia="ru-RU"/>
        </w:rPr>
        <w:t xml:space="preserve">, за исключением перевода всех Активов, учитываемых на ИИС Клиента у другого профессионального участника рынка ценных бумаг, на ИИС открываемый Брокером в рамках Соглашения ИИС при наличии указания в Справке, предоставленной профессиональным участником рынка ценных бумаг, у которого ранее был открыт ИИС, о внесении Клиентом на ИИС не более </w:t>
      </w:r>
      <w:r w:rsidR="00E817DB">
        <w:rPr>
          <w:rFonts w:ascii="Times New Roman" w:eastAsia="Times New Roman" w:hAnsi="Times New Roman" w:cs="Times New Roman"/>
          <w:lang w:eastAsia="ru-RU"/>
        </w:rPr>
        <w:t xml:space="preserve">суммы, установленной законодательством РФ, </w:t>
      </w:r>
      <w:r w:rsidRPr="00F17F65">
        <w:rPr>
          <w:rFonts w:ascii="Times New Roman" w:eastAsia="Times New Roman" w:hAnsi="Times New Roman" w:cs="Times New Roman"/>
          <w:lang w:eastAsia="ru-RU"/>
        </w:rPr>
        <w:t>в течение календарного года.</w:t>
      </w:r>
    </w:p>
    <w:p w:rsidR="00F17F65" w:rsidRPr="00F17F65" w:rsidRDefault="00F17F65" w:rsidP="00F17F65">
      <w:pPr>
        <w:widowControl w:val="0"/>
        <w:autoSpaceDE w:val="0"/>
        <w:autoSpaceDN w:val="0"/>
        <w:spacing w:after="0" w:line="240" w:lineRule="auto"/>
        <w:ind w:left="1276"/>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Заключая настоящее Соглашение ИИС, Клиент тем самым принимает на себя обязанность по соблюдению требования в отношении совокупной суммы денежных средств, которые </w:t>
      </w:r>
      <w:r w:rsidRPr="00F17F65">
        <w:rPr>
          <w:rFonts w:ascii="Times New Roman" w:eastAsia="Times New Roman" w:hAnsi="Times New Roman" w:cs="Times New Roman"/>
          <w:lang w:eastAsia="ru-RU"/>
        </w:rPr>
        <w:lastRenderedPageBreak/>
        <w:t xml:space="preserve">могут быть переданы им в течение календарного года Брокеру для зачисления их на ИИС, и соглашается с тем, что денежные средства зачисленные Клиентом на ИИС свыше </w:t>
      </w:r>
      <w:r w:rsidR="00E817DB">
        <w:rPr>
          <w:rFonts w:ascii="Times New Roman" w:eastAsia="Times New Roman" w:hAnsi="Times New Roman" w:cs="Times New Roman"/>
          <w:lang w:eastAsia="ru-RU"/>
        </w:rPr>
        <w:t>суммы, установленной законодательством РФ</w:t>
      </w:r>
      <w:r w:rsidRPr="00F17F65">
        <w:rPr>
          <w:rFonts w:ascii="Times New Roman" w:eastAsia="Times New Roman" w:hAnsi="Times New Roman" w:cs="Times New Roman"/>
          <w:lang w:eastAsia="ru-RU"/>
        </w:rPr>
        <w:t>, будут зачислены на обычный брокерский счёт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Не передавать ценные бумаги на ИИС, открытый Клиенту Брокером, если эти ценные бумаги не были учтены на ИИС Клиента у вышеуказанного профессионального участника рынка ценных бумаг и не были указаны в Справке.</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обязанности, предусмотренные Правилами и Приложениями к ним.</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b/>
          <w:bCs/>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Клиент имеет право:</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Направлять Брокеру поручения по форме и в порядке, установленном в Регламенте.</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Получать информацию у Брокера о складывающихся в ходе торгов котировках ценных бумаг.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возникновении возражений по содержанию отчета предъявить Брокеру в течение 3 (Трех) рабочих дней с момента получения отчета возражения по его содержанию. При не предъявлении возражений в указанные сроки, соответствующий отчет считается принятым Клиентом без возражений, а все указанные в отчете операции считаются подтвержденными Клиентом.</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Потребовать возврата всех учтенных на его ИИС Активов или их передачи другому профессиональному участнику рынка ценных бумаг, с которым заключен новое соглашение на ведение ИИС. Частичный вывод Активов Клиента с ИИС не допускается. При этом в случае, если с начала действия ИИС прошло менее 3 (Трёх) лет, Клиент теряет право на получение налоговой льготы, а Брокер как налоговый агент производит расчёт и удержание НДФЛ по ИИС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Отозвать доверенности, выданные в соответствии с требованиями Регламента, направив Брокеру соответствующее письменное уведомление лично, либо курьером, чьи полномочия должны быть подтверждены в соответствии с требованиями законодательства. Доверенность считается отозванной с момента получения Брокером вышеуказанного письменного уведомления.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права, предусмотренные Правилами и Приложениями к ним.</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ВЫПОЛНЕНИЯ ПОРУЧЕНИЙ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выполняет Поручения Клиента на условиях и в порядке, определяемых настоящим Регламентом, а также Приложениями и Дополнительными соглашениями к настоящему Регламенту.</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Для совершения сделок Клиент передает Брокеру поручение на совершение операций с ценными бумагами по форме, предусмотренной в Приложении № 5</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к настоящим Правилам (далее – «</w:t>
      </w:r>
      <w:r w:rsidRPr="00F17F65">
        <w:rPr>
          <w:rFonts w:ascii="Times New Roman" w:eastAsia="Times New Roman" w:hAnsi="Times New Roman" w:cs="Times New Roman"/>
          <w:b/>
          <w:i/>
          <w:lang w:eastAsia="ru-RU"/>
        </w:rPr>
        <w:t>Поручение</w:t>
      </w:r>
      <w:r w:rsidRPr="00F17F65">
        <w:rPr>
          <w:rFonts w:ascii="Times New Roman" w:eastAsia="Times New Roman" w:hAnsi="Times New Roman" w:cs="Times New Roman"/>
          <w:lang w:eastAsia="ru-RU"/>
        </w:rPr>
        <w:t>»). Обязательными реквизитами направляемого Клиентом Поручения являются: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наименование и регистрационный код Клиента, который указывается в Соглашении ИИС;</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номер Договора;</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вид сделки;</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наименование (обозначение) ценных бумаг, принятое на Бирже;</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цену одной ценной бумаги или однозначные условия ее определения;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количество ценных бумаг или однозначные условия его определения;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срок действия Поручения;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подпись Клиента;</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дату и время подачи Поручения. </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При получении Поручения Брокер ставит на нем отметку о дате и времени получения.</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 xml:space="preserve">Брокер имеет право не исполнять Поручение, составленное с нарушением требований, установленных в настоящем Регламенте, в том числе – при нарушении установленной </w:t>
      </w:r>
      <w:r w:rsidRPr="00F17F65">
        <w:rPr>
          <w:rFonts w:ascii="Times New Roman" w:eastAsia="Times New Roman" w:hAnsi="Times New Roman" w:cs="Times New Roman"/>
          <w:color w:val="000000"/>
          <w:lang w:eastAsia="ru-RU"/>
        </w:rPr>
        <w:lastRenderedPageBreak/>
        <w:t>Брокером обязательной формы такого Поручения.</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Брокер принимает Поручения Клиента в любой рабочий день с 10:00 до 19:00 по московскому времени.</w:t>
      </w:r>
      <w:r w:rsidRPr="00F17F65">
        <w:rPr>
          <w:rFonts w:ascii="Times New Roman" w:eastAsia="Times New Roman" w:hAnsi="Times New Roman" w:cs="Times New Roman"/>
          <w:color w:val="FF6600"/>
          <w:lang w:eastAsia="ru-RU"/>
        </w:rPr>
        <w:t xml:space="preserve"> </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Поручение передается Брокеру любым удобным для Клиента способом из числа нижеперечисленных:</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contextualSpacing/>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Путем представления Брокеру документа на</w:t>
      </w:r>
      <w:r w:rsidRPr="00F17F65">
        <w:rPr>
          <w:rFonts w:ascii="Times New Roman" w:eastAsia="Times New Roman" w:hAnsi="Times New Roman" w:cs="Times New Roman"/>
          <w:b/>
          <w:color w:val="000000"/>
          <w:lang w:eastAsia="ru-RU"/>
        </w:rPr>
        <w:t xml:space="preserve"> бумажном носителе</w:t>
      </w:r>
      <w:r w:rsidRPr="00F17F65">
        <w:rPr>
          <w:rFonts w:ascii="Times New Roman" w:eastAsia="Times New Roman" w:hAnsi="Times New Roman" w:cs="Times New Roman"/>
          <w:color w:val="000000"/>
          <w:lang w:eastAsia="ru-RU"/>
        </w:rPr>
        <w:t>.</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contextualSpacing/>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Путем выставления </w:t>
      </w:r>
      <w:r w:rsidRPr="00F17F65">
        <w:rPr>
          <w:rFonts w:ascii="Times New Roman" w:eastAsia="Times New Roman" w:hAnsi="Times New Roman" w:cs="Times New Roman"/>
          <w:b/>
          <w:color w:val="000000"/>
          <w:lang w:eastAsia="ru-RU"/>
        </w:rPr>
        <w:t>электронной заявки</w:t>
      </w:r>
      <w:r w:rsidRPr="00F17F65">
        <w:rPr>
          <w:rFonts w:ascii="Times New Roman" w:eastAsia="Times New Roman" w:hAnsi="Times New Roman" w:cs="Times New Roman"/>
          <w:color w:val="000000"/>
          <w:lang w:eastAsia="ru-RU"/>
        </w:rPr>
        <w:t xml:space="preserve"> в Торговой Системе при наличии подписанного соглашения об организации брокерского и информационного обслуживания с использованием средств телекоммуникаций</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Путем передачи устного сообщения </w:t>
      </w:r>
      <w:r w:rsidRPr="00F17F65">
        <w:rPr>
          <w:rFonts w:ascii="Times New Roman" w:eastAsia="Times New Roman" w:hAnsi="Times New Roman" w:cs="Times New Roman"/>
          <w:b/>
          <w:color w:val="000000"/>
          <w:lang w:eastAsia="ru-RU"/>
        </w:rPr>
        <w:t>по телефону</w:t>
      </w:r>
      <w:r w:rsidRPr="00F17F65">
        <w:rPr>
          <w:rFonts w:ascii="Times New Roman" w:eastAsia="Times New Roman" w:hAnsi="Times New Roman" w:cs="Times New Roman"/>
          <w:color w:val="000000"/>
          <w:lang w:eastAsia="ru-RU"/>
        </w:rPr>
        <w:t xml:space="preserve">. </w:t>
      </w:r>
    </w:p>
    <w:p w:rsidR="00F17F65" w:rsidRPr="00F17F65" w:rsidRDefault="00F17F65" w:rsidP="00F17F65">
      <w:pPr>
        <w:widowControl w:val="0"/>
        <w:numPr>
          <w:ilvl w:val="3"/>
          <w:numId w:val="22"/>
        </w:numPr>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lang w:eastAsia="ru-RU"/>
        </w:rPr>
        <w:t xml:space="preserve">Клиент признает все сообщения, направленные указанным способом, имеющими юридическую силу Поручений, составленных в письменной форме. </w:t>
      </w:r>
      <w:r w:rsidRPr="00F17F65">
        <w:rPr>
          <w:rFonts w:ascii="Times New Roman" w:eastAsia="Times New Roman" w:hAnsi="Times New Roman" w:cs="Times New Roman"/>
          <w:color w:val="000000"/>
          <w:lang w:eastAsia="ru-RU"/>
        </w:rPr>
        <w:t xml:space="preserve">Брокер имеет право осуществлять аудиозапись телефонных переговоров между Клиентом или представителем Клиента и представителем Брокера. В случае возникновения споров по переданным по телефону сообщениям, такая аудиозапись считается для Брокера и Клиента допустимым и достаточным доказательством факта направления сообщения и его содержания.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Сообщения Клиента должны передаваться по телефону и могут приниматься к исполнению Брокером только при условии использования в качестве дополнительного средства идентификации и подтверждения полномочий лица, передающего от имени Клиента сообщения, специального уникального кодового слова (пароля).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Пароль определяется Клиентом и доводится до сведения Брокера обязательно в письменной форме в Анкете Клиента (</w:t>
      </w:r>
      <w:r w:rsidRPr="00F17F65">
        <w:rPr>
          <w:rFonts w:ascii="Times New Roman" w:eastAsia="Times New Roman" w:hAnsi="Times New Roman" w:cs="Times New Roman"/>
          <w:lang w:eastAsia="ru-RU"/>
        </w:rPr>
        <w:t>Приложение № 7</w:t>
      </w:r>
      <w:r w:rsidRPr="00F17F65">
        <w:rPr>
          <w:rFonts w:ascii="Times New Roman" w:eastAsia="Times New Roman" w:hAnsi="Times New Roman" w:cs="Times New Roman"/>
          <w:b/>
          <w:color w:val="00B050"/>
          <w:lang w:eastAsia="ru-RU"/>
        </w:rPr>
        <w:t xml:space="preserve"> </w:t>
      </w:r>
      <w:r w:rsidRPr="00F17F65">
        <w:rPr>
          <w:rFonts w:ascii="Times New Roman" w:eastAsia="Times New Roman" w:hAnsi="Times New Roman" w:cs="Times New Roman"/>
          <w:lang w:eastAsia="ru-RU"/>
        </w:rPr>
        <w:t>к настоящему Регламенту</w:t>
      </w:r>
      <w:r w:rsidRPr="00F17F65">
        <w:rPr>
          <w:rFonts w:ascii="Times New Roman" w:eastAsia="Times New Roman" w:hAnsi="Times New Roman" w:cs="Times New Roman"/>
          <w:color w:val="000000"/>
          <w:lang w:eastAsia="ru-RU"/>
        </w:rPr>
        <w:t xml:space="preserve">).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Клиент обязан контролировать доступ к паролю представителей Клиента и иных лиц. Ответственность за обеспечение конфиденциальности информации о пароле полностью возлагается на Клиента. Брокер не несет ответственности в случае использования пароля Клиента неуполномоченными лицами, если только не будет доказана прямая вина Брокера в таком использовании пароля.</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Пароль может представлять из себя любую комбинацию из не менее, чем трех и не более чем десяти символов. Данная комбинация должна обязательно включать комбинацию русских букв (составляющих слово) или комбинацию цифр.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Брокер имеет право в любой момент потребовать от Клиента обязательной замены установленного им пароля и установить срок для такой замены. Если требование Брокера о смене пароля Клиентом выполнено не будет, Брокер по истечении установленного им срока прекращает прием любых сообщений от Клиента по телефону.</w:t>
      </w:r>
    </w:p>
    <w:p w:rsidR="00F17F65" w:rsidRPr="00F17F65" w:rsidRDefault="00F17F65" w:rsidP="00F17F65">
      <w:pPr>
        <w:widowControl w:val="0"/>
        <w:numPr>
          <w:ilvl w:val="3"/>
          <w:numId w:val="22"/>
        </w:numPr>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Любое передаваемое Клиентом по телефону сообщение рассматривается Брокером как исходящее от Клиента, если лицо, передающее сообщение правильно указывает следующую информацию:</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фамилию, имя, отчество Клиента;</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фамилию, имя, отчество физического лица, непосредственно передавшего сообщение по телефону (при этом Брокеру заранее должны быть представлены документы (в том числе нотариально удостоверенная доверенность на представителя Клиента), предоставляющие данному физическому лицу право давать Поручения на совершение сделок с ценными бумагами от имени Клиента);</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 xml:space="preserve">регистрационный код Клиента в соответствии с </w:t>
      </w:r>
      <w:r w:rsidRPr="00F17F65">
        <w:rPr>
          <w:rFonts w:ascii="Times New Roman" w:eastAsia="Times New Roman" w:hAnsi="Times New Roman" w:cs="Times New Roman"/>
          <w:lang w:eastAsia="ru-RU"/>
        </w:rPr>
        <w:t>Регламентом</w:t>
      </w:r>
      <w:r w:rsidRPr="00F17F65">
        <w:rPr>
          <w:rFonts w:ascii="Times New Roman" w:eastAsia="Times New Roman" w:hAnsi="Times New Roman" w:cs="Times New Roman"/>
          <w:color w:val="000000"/>
          <w:lang w:eastAsia="ru-RU"/>
        </w:rPr>
        <w:t>;</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 xml:space="preserve">уникальное кодовое слово (пароль) Клиента. Произнесение пароля </w:t>
      </w:r>
      <w:r w:rsidRPr="00F17F65">
        <w:rPr>
          <w:rFonts w:ascii="Times New Roman" w:eastAsia="Times New Roman" w:hAnsi="Times New Roman" w:cs="Times New Roman"/>
          <w:color w:val="000000"/>
          <w:lang w:eastAsia="ru-RU"/>
        </w:rPr>
        <w:lastRenderedPageBreak/>
        <w:t>приравнивается к проставлению подписи под передаваемым Поручением.</w:t>
      </w:r>
    </w:p>
    <w:p w:rsidR="00F17F65" w:rsidRPr="00F17F65" w:rsidRDefault="00F17F65" w:rsidP="00F17F65">
      <w:pPr>
        <w:widowControl w:val="0"/>
        <w:numPr>
          <w:ilvl w:val="3"/>
          <w:numId w:val="22"/>
        </w:numPr>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Брокер принимает сообщения по телефонной связи по следующим правилам:</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 xml:space="preserve">передаче сообщения предшествует процедура идентификации Клиента в соответствии с </w:t>
      </w:r>
      <w:r w:rsidRPr="00F17F65">
        <w:rPr>
          <w:rFonts w:ascii="Times New Roman" w:eastAsia="Times New Roman" w:hAnsi="Times New Roman" w:cs="Times New Roman"/>
          <w:lang w:eastAsia="ru-RU"/>
        </w:rPr>
        <w:t>пунктом 4.6.3.7</w:t>
      </w:r>
      <w:r w:rsidRPr="00F17F65">
        <w:rPr>
          <w:rFonts w:ascii="Times New Roman" w:eastAsia="Times New Roman" w:hAnsi="Times New Roman" w:cs="Times New Roman"/>
          <w:color w:val="000000"/>
          <w:lang w:eastAsia="ru-RU"/>
        </w:rPr>
        <w:t xml:space="preserve"> </w:t>
      </w:r>
      <w:r w:rsidRPr="00F17F65">
        <w:rPr>
          <w:rFonts w:ascii="Times New Roman" w:eastAsia="Times New Roman" w:hAnsi="Times New Roman" w:cs="Times New Roman"/>
          <w:lang w:eastAsia="ru-RU"/>
        </w:rPr>
        <w:t>настоящих Правил</w:t>
      </w:r>
      <w:r w:rsidRPr="00F17F65">
        <w:rPr>
          <w:rFonts w:ascii="Times New Roman" w:eastAsia="Times New Roman" w:hAnsi="Times New Roman" w:cs="Times New Roman"/>
          <w:color w:val="000000"/>
          <w:lang w:eastAsia="ru-RU"/>
        </w:rPr>
        <w:t>;</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сообщение обязательно повторяется вслед за Клиентом представителем Брокера, принимающим сообщение;</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если сообщение правильно повторено представителем Брокера, Клиент окончательно подтверждает сообщение путем произнесения слова, недвусмысленно означающего согласие (например, «Подтверждаю», «Согласен»). Сообщение считается принятым Брокером к исполнению с момента произнесения указанного подтверждающего слова Клиентом.</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Поручения, направляемые Клиентом по телефону передаются Клиентом только по специально выделенным линиям (номерам) Брокера, указанным в </w:t>
      </w:r>
      <w:r w:rsidRPr="00F17F65">
        <w:rPr>
          <w:rFonts w:ascii="Times New Roman" w:eastAsia="Times New Roman" w:hAnsi="Times New Roman" w:cs="Times New Roman"/>
          <w:lang w:eastAsia="ru-RU"/>
        </w:rPr>
        <w:t>пункте 13</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color w:val="000000"/>
          <w:lang w:eastAsia="ru-RU"/>
        </w:rPr>
        <w:t>настоящих Правил.</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В случае если Поручение было направлено Клиентом с использованием одного из перечисленных в </w:t>
      </w:r>
      <w:r w:rsidRPr="00F17F65">
        <w:rPr>
          <w:rFonts w:ascii="Times New Roman" w:eastAsia="Times New Roman" w:hAnsi="Times New Roman" w:cs="Times New Roman"/>
          <w:lang w:eastAsia="ru-RU"/>
        </w:rPr>
        <w:t>пункте 4.6</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 xml:space="preserve">настоящих </w:t>
      </w:r>
      <w:r w:rsidRPr="00F17F65">
        <w:rPr>
          <w:rFonts w:ascii="Times New Roman" w:eastAsia="Times New Roman" w:hAnsi="Times New Roman" w:cs="Times New Roman"/>
          <w:color w:val="000000"/>
          <w:lang w:eastAsia="ru-RU"/>
        </w:rPr>
        <w:t xml:space="preserve">Правил средств электронной связи (за исключением способа, указанного в </w:t>
      </w:r>
      <w:r w:rsidRPr="00F17F65">
        <w:rPr>
          <w:rFonts w:ascii="Times New Roman" w:eastAsia="Times New Roman" w:hAnsi="Times New Roman" w:cs="Times New Roman"/>
          <w:lang w:eastAsia="ru-RU"/>
        </w:rPr>
        <w:t xml:space="preserve">пункте 4.6.1 настоящих </w:t>
      </w:r>
      <w:r w:rsidRPr="00F17F65">
        <w:rPr>
          <w:rFonts w:ascii="Times New Roman" w:eastAsia="Times New Roman" w:hAnsi="Times New Roman" w:cs="Times New Roman"/>
          <w:color w:val="000000"/>
          <w:lang w:eastAsia="ru-RU"/>
        </w:rPr>
        <w:t xml:space="preserve">Правил), Клиент обязан предоставить Брокеру </w:t>
      </w:r>
      <w:r w:rsidRPr="00F17F65">
        <w:rPr>
          <w:rFonts w:ascii="Times New Roman" w:eastAsia="Times New Roman" w:hAnsi="Times New Roman" w:cs="Times New Roman"/>
          <w:lang w:eastAsia="ru-RU"/>
        </w:rPr>
        <w:t>должным образом оформленный оригинал Поручения на осуществление сделок с ценными бумагами</w:t>
      </w:r>
      <w:r w:rsidRPr="00F17F65">
        <w:rPr>
          <w:rFonts w:ascii="Times New Roman" w:eastAsia="Times New Roman" w:hAnsi="Times New Roman" w:cs="Times New Roman"/>
          <w:color w:val="000000"/>
          <w:lang w:eastAsia="ru-RU"/>
        </w:rPr>
        <w:t xml:space="preserve"> за подписью Клиента/представителя Клиента, содержащий необходимые условия в соответствии с </w:t>
      </w:r>
      <w:r w:rsidRPr="00F17F65">
        <w:rPr>
          <w:rFonts w:ascii="Times New Roman" w:eastAsia="Times New Roman" w:hAnsi="Times New Roman" w:cs="Times New Roman"/>
          <w:lang w:eastAsia="ru-RU"/>
        </w:rPr>
        <w:t>пунктом 4.2</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 xml:space="preserve">настоящих </w:t>
      </w:r>
      <w:r w:rsidRPr="00F17F65">
        <w:rPr>
          <w:rFonts w:ascii="Times New Roman" w:eastAsia="Times New Roman" w:hAnsi="Times New Roman" w:cs="Times New Roman"/>
          <w:color w:val="000000"/>
          <w:lang w:eastAsia="ru-RU"/>
        </w:rPr>
        <w:t xml:space="preserve">Правил, в течение одного календарного месяца с даты направления Поручения посредством указанных средств связи. </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Неисполнение Клиентом обязанности по представлению указанного оригинала Поручения не влечет за собой недействительности заключенной за счет Клиента сделки, но является основанием для приостановления Брокером исполнения любых Поручений Клиента, а также принудительного закрытия Брокером по своему усмотрению любых позиций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Настоящими Правилами предусматриваются следующие типы поручений для подачи на торги:</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Поручение, в котором указывается текущая </w:t>
      </w:r>
      <w:r w:rsidRPr="00F17F65">
        <w:rPr>
          <w:rFonts w:ascii="Times New Roman" w:eastAsia="Times New Roman" w:hAnsi="Times New Roman" w:cs="Times New Roman"/>
          <w:b/>
          <w:lang w:eastAsia="ru-RU"/>
        </w:rPr>
        <w:t>рыночная цена</w:t>
      </w:r>
      <w:r w:rsidRPr="00F17F65">
        <w:rPr>
          <w:rFonts w:ascii="Times New Roman" w:eastAsia="Times New Roman" w:hAnsi="Times New Roman" w:cs="Times New Roman"/>
          <w:lang w:eastAsia="ru-RU"/>
        </w:rPr>
        <w:t>, сложившаяся на момент подачи Поручения на Бирже;</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Поручение, в котором указывается </w:t>
      </w:r>
      <w:r w:rsidRPr="00F17F65">
        <w:rPr>
          <w:rFonts w:ascii="Times New Roman" w:eastAsia="Times New Roman" w:hAnsi="Times New Roman" w:cs="Times New Roman"/>
          <w:b/>
          <w:lang w:eastAsia="ru-RU"/>
        </w:rPr>
        <w:t>лимитированная цена</w:t>
      </w:r>
      <w:r w:rsidRPr="00F17F65">
        <w:rPr>
          <w:rFonts w:ascii="Times New Roman" w:eastAsia="Times New Roman" w:hAnsi="Times New Roman" w:cs="Times New Roman"/>
          <w:lang w:eastAsia="ru-RU"/>
        </w:rPr>
        <w:t xml:space="preserve"> на покупку или продажу ценных бумаг.</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Все типы Поручений, поступившие Брокеру от Клиента, регистрируются и исполняются в порядке поступления.</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имеет право не исполнять или исполнять в неполном объеме Поручения Клиента в случае:</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сложившейся конъюнктуры рынка, препятствующей исполнению Поручения на заданных условиях, а также в случае изменения правил торгов;</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недостаточности денежных средств на ИИС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недостаточности ценных бумаг на Счете депо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несоблюдения сроков и условий, указанных в пунктах 3.2.3, 3.2.4, 3.3.11, 3.3.14, 4.4, 4.5, 4.6.4.6, 4.7, 5.3</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настоящих Правил;</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если условия Поручения не соответствуют требованиям, установленным настоящими Правилами, Биржей и законодательством Российской Федерации о ценных бумагах.</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РАСЧЕТОВ ПО СДЕЛКАМ</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перечисляет денежные средства, необходимые для оплаты запланированных им операций по покупке ценных бумаг, в том числе для оплаты всех комиссий и сборов Биржи и Брокера, на свой ИИС у Брокера. Поступление указанных денежных средств на свой ИИС должно быть обеспечено Клиентом в срок не позднее, чем за 1 (Один) рабочий день до проведения сделки.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До направления Брокеру Поручения на совершение сделки по продаже ценных бумаг на Бирже Клиент должен зарезервировать на своем Счете депо ценные бумаги в количестве, достаточном для исполнения обязательств по поставке этих ценных бумаг по итогам сделки.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самостоятельно осуществляет контроль за достаточностью Активов, необходимых для </w:t>
      </w:r>
      <w:r w:rsidRPr="00F17F65">
        <w:rPr>
          <w:rFonts w:ascii="Times New Roman" w:eastAsia="Times New Roman" w:hAnsi="Times New Roman" w:cs="Times New Roman"/>
          <w:lang w:eastAsia="ru-RU"/>
        </w:rPr>
        <w:lastRenderedPageBreak/>
        <w:t>расчетов по сделкам. В случае если в результате приема Поручения на совершение сделки, какого-либо Актива, в том числе денежных средств для оплаты всех комиссий и сборов Биржи и Брокера, окажется меньше, Брокер имеет право не исполнять такое Поручение.</w:t>
      </w: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ВОЗНАГРАЖДЕНИЕ БРОКЕРА</w:t>
      </w:r>
    </w:p>
    <w:p w:rsidR="00F17F65" w:rsidRPr="00F17F65" w:rsidRDefault="00F17F65" w:rsidP="00F17F65">
      <w:pPr>
        <w:widowControl w:val="0"/>
        <w:autoSpaceDE w:val="0"/>
        <w:autoSpaceDN w:val="0"/>
        <w:spacing w:after="0" w:line="240" w:lineRule="auto"/>
        <w:ind w:left="567" w:hanging="567"/>
        <w:jc w:val="center"/>
        <w:rPr>
          <w:rFonts w:ascii="Times New Roman" w:eastAsia="Times New Roman" w:hAnsi="Times New Roman" w:cs="Times New Roman"/>
          <w:b/>
          <w:bCs/>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По сделкам с ценными бумагами, совершенными в соответствии с настоящим Договором, с Клиента взимается комиссионное вознаграждение в пользу Биржи по установленным ею ставкам, а также комиссионное вознаграждение Брокеру за выполнение брокерских услуг по ставкам, определяемым Тарифами (в рамках соответствующего Тарифного плана).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Комиссионное вознаграждение Брокера устанавливается в процентах от суммы сделки без учета вознаграждений Биржи.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Комиссионное вознаграждение, подлежащее уплате, не включает НДС, если иное не оговорено в Тарифах.</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Брокер имеет право в одностороннем порядке изменить Тарифы (виды и содержание Тарифных планов), уведомив об этом Клиента любыми доступными средствами, в том числе путем помещения на доске объявлений в </w:t>
      </w:r>
      <w:r w:rsidR="005F6599">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и на сайте Брокера в сети Интернет соответствующей информации о введении новых Тарифов не менее, чем за 7 (Семь) рабочих дней до даты вступления в силу соответствующих изменений.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При исполнении Поручения на покупку ценных бумаг на торгах комиссионное вознаграждение удерживается Брокером из суммы, зарезервированной на ИИС Клиента в соответствии с пунктом 5.1 настоящих Правил.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исполнении Поручений Клиента на продажу ценных бумаг сумма комиссионного вознаграждения удерживается Брокером из суммы, вырученной Брокером от продажи ценных бумаг в день ее поступлении на ИИС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случае недостаточности денежных средств на ИИС Клиента для расчетов с Брокером и Биржей, Брокер имеет право осуществить действия в соответствии с пунктом 7.6</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 xml:space="preserve">настоящих </w:t>
      </w:r>
      <w:r w:rsidRPr="00F17F65">
        <w:rPr>
          <w:rFonts w:ascii="Times New Roman" w:eastAsia="Times New Roman" w:hAnsi="Times New Roman" w:cs="Times New Roman"/>
          <w:color w:val="000000"/>
          <w:lang w:eastAsia="ru-RU"/>
        </w:rPr>
        <w:t>Правил</w:t>
      </w:r>
      <w:r w:rsidRPr="00F17F65">
        <w:rPr>
          <w:rFonts w:ascii="Times New Roman" w:eastAsia="Times New Roman" w:hAnsi="Times New Roman" w:cs="Times New Roman"/>
          <w:lang w:eastAsia="ru-RU"/>
        </w:rPr>
        <w:t>.</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Комиссионное вознаграждение Брокера за перевод ценных бумаг Клиента с торгового раздела (на торговый раздел), а также на счета (со счетов) Клиента в депозитариях или реестрах эмитентов, определяется тарифами Депозитария </w:t>
      </w:r>
      <w:r w:rsidR="005F6599">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и уплачивается в порядке, установленном Депозитарным договором, заключенным между Брокером и Клиентом.</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Комиссионное вознаграждение Брокера за услуги Депозитария </w:t>
      </w:r>
      <w:r w:rsidR="005F6599">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также может быть списано со счёта ИИС при условии подачи Клиентом Поручения по форме, установленной в Приложении № 6 к настоящим </w:t>
      </w:r>
      <w:r w:rsidRPr="00F17F65">
        <w:rPr>
          <w:rFonts w:ascii="Times New Roman" w:eastAsia="Times New Roman" w:hAnsi="Times New Roman" w:cs="Times New Roman"/>
          <w:color w:val="000000"/>
          <w:lang w:eastAsia="ru-RU"/>
        </w:rPr>
        <w:t>Правилам</w:t>
      </w:r>
      <w:r w:rsidRPr="00F17F65">
        <w:rPr>
          <w:rFonts w:ascii="Times New Roman" w:eastAsia="Times New Roman" w:hAnsi="Times New Roman" w:cs="Times New Roman"/>
          <w:lang w:eastAsia="ru-RU"/>
        </w:rPr>
        <w:t>.</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Клиент самостоятельно осуществляет уплату всех налогов и сборов, за исключением случаев, когда в соответствии с законодательством Российской Федерации на Брокера возложена обязанность исполнять по отношению к Клиенту функции налогового агента.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Комиссионное вознаграждение уплачивается Клиентом Брокеру в соответствии с согласованным Сторонами Тарифным планом указанном в Приложении №3 к Регламенту. Клиент вправе выбрать иной Тарифный план, подав Заявление по форме, установленной в Приложении № 2 к настоящему Договору. Заявление подается Брокеру в двух экземплярах, при этом Тарифный план считается измененным и обязательным для Сторон только в случае принятия указанного Заявления Брокером (о чем на Заявлении делается отметка уполномоченным представителем Брокера). Брокер имеет право отказать в принятии Заявления и переходе Клиента на новый Тарифный план. Срок введения в действие нового Тарифного плана определяется Брокером при принятии Заявления и указывается в тексте Заявления (данный срок не может превышать 90 (Девяносто дней) со дня подачи Заявления).</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ОТВЕТСТВЕННОСТЬ СТОРОН</w:t>
      </w:r>
    </w:p>
    <w:p w:rsidR="00F17F65" w:rsidRPr="00F17F65" w:rsidRDefault="00F17F65" w:rsidP="00F17F65">
      <w:pPr>
        <w:widowControl w:val="0"/>
        <w:autoSpaceDE w:val="0"/>
        <w:autoSpaceDN w:val="0"/>
        <w:spacing w:after="0" w:line="240" w:lineRule="auto"/>
        <w:ind w:left="567" w:hanging="567"/>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За невыполнение или ненадлежащее выполнение обязательств по настоящему Соглашению ИИС </w:t>
      </w:r>
      <w:r w:rsidRPr="00F17F65">
        <w:rPr>
          <w:rFonts w:ascii="Times New Roman" w:eastAsia="Times New Roman" w:hAnsi="Times New Roman" w:cs="Times New Roman"/>
          <w:lang w:eastAsia="ru-RU"/>
        </w:rPr>
        <w:lastRenderedPageBreak/>
        <w:t>Стороны несут ответственность в соответствии с действующим законодательством.</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случае задержки перечисления денежных средств по поручению Клиента по вине Брокера, последний уплачивает пени в размере ставки рефинансирования ЦБ РФ, действующей на дату получения поручения Клиента, от не перечисленной суммы за каждый день просрочки.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не несет ответственности, если он не мог выполнить Поручение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из-за сложившейся конъюнктуры рынка, препятствующей исполнению Поручения на заданных условиях, а также в случае изменения правил торгов;</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в случае недостаточности денежных средств на ИИС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в случае недостаточного количества ценных бумаг на Счете депо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в случае несоблюдения Клиентом сроков и условий, указанных в пунктах 3.2.3, 3.2.4, 3.3.11, 3.3.14, 4.4, 4.5, 4.6.4.6, 4.7, 5.3 настоящих </w:t>
      </w:r>
      <w:r w:rsidRPr="00F17F65">
        <w:rPr>
          <w:rFonts w:ascii="Times New Roman" w:eastAsia="Times New Roman" w:hAnsi="Times New Roman" w:cs="Times New Roman"/>
          <w:color w:val="000000"/>
          <w:lang w:eastAsia="ru-RU"/>
        </w:rPr>
        <w:t>Правил</w:t>
      </w:r>
      <w:r w:rsidRPr="00F17F65">
        <w:rPr>
          <w:rFonts w:ascii="Times New Roman" w:eastAsia="Times New Roman" w:hAnsi="Times New Roman" w:cs="Times New Roman"/>
          <w:lang w:eastAsia="ru-RU"/>
        </w:rPr>
        <w:t>.</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u w:val="single"/>
          <w:lang w:eastAsia="ru-RU"/>
        </w:rPr>
      </w:pPr>
      <w:r w:rsidRPr="00F17F65">
        <w:rPr>
          <w:rFonts w:ascii="Times New Roman" w:eastAsia="Times New Roman" w:hAnsi="Times New Roman" w:cs="Times New Roman"/>
          <w:lang w:eastAsia="ru-RU"/>
        </w:rPr>
        <w:t>Брокер не несет ответственности за негативные последствия, возникающие для Клиента, за возникновение убытков Клиента, в том числе, за утрату Клиентом возможности воспользоваться правом на предоставление налогового вычета, взыскание с Клиента соответствующих сумм пеней</w:t>
      </w:r>
      <w:r w:rsidRPr="00F17F65">
        <w:rPr>
          <w:rFonts w:ascii="Times New Roman" w:eastAsia="Times New Roman" w:hAnsi="Times New Roman" w:cs="Times New Roman"/>
          <w:u w:val="single"/>
          <w:lang w:eastAsia="ru-RU"/>
        </w:rPr>
        <w:t>.</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7.4.1.</w:t>
      </w:r>
      <w:r w:rsidRPr="00F17F65">
        <w:rPr>
          <w:rFonts w:ascii="Times New Roman" w:eastAsia="Times New Roman" w:hAnsi="Times New Roman" w:cs="Times New Roman"/>
        </w:rPr>
        <w:tab/>
        <w:t>в случае предоставления Клиентом Брокеру или иным профессиональным участникам рынка ценных бумаг недостоверной и/или неполной, неактуальной информации, недостоверных, неполных, неактуальных, поддельных документов, справок/документов налоговых органов, подлежавших предоставлению Клиентом Брокеру, Справок от других профессиональных участников рынка ценных бумаг или другим профессиональным участникам рынка ценных бумаг, документов, необходимых для подтверждения, что поступавшие Брокеру Активы поступали с ИИС, открытого Клиенту у другого профессионального участника рынка ценных бумаг, в том числе, в случае поступления Брокеру Активов со счетов иных профессиональных участников рынка ценных бумаг, отличных от указанных в Справке;</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7.4.2.</w:t>
      </w:r>
      <w:r w:rsidRPr="00F17F65">
        <w:rPr>
          <w:rFonts w:ascii="Times New Roman" w:eastAsia="Times New Roman" w:hAnsi="Times New Roman" w:cs="Times New Roman"/>
        </w:rPr>
        <w:tab/>
        <w:t>в случае, если Клиент на момент заключения Соглашения ИИС,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7.4.3.</w:t>
      </w:r>
      <w:r w:rsidRPr="00F17F65">
        <w:rPr>
          <w:rFonts w:ascii="Times New Roman" w:eastAsia="Times New Roman" w:hAnsi="Times New Roman" w:cs="Times New Roman"/>
        </w:rPr>
        <w:tab/>
        <w:t>в случае неисполнения Клиентом своих обязательств, предусмотренных Правилами, в том числе, по соблюдению ограничений на передачу Активов на ИИС;</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7.4.5.</w:t>
      </w:r>
      <w:r w:rsidRPr="00F17F65">
        <w:rPr>
          <w:rFonts w:ascii="Times New Roman" w:eastAsia="Times New Roman" w:hAnsi="Times New Roman" w:cs="Times New Roman"/>
        </w:rPr>
        <w:tab/>
        <w:t>в случае расторжения Соглашения ИИС в одностороннем порядке по инициативе Клиента при наступлении условий, предусмотренных Правилами;</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7.4.6.</w:t>
      </w:r>
      <w:r w:rsidRPr="00F17F65">
        <w:rPr>
          <w:rFonts w:ascii="Times New Roman" w:eastAsia="Times New Roman" w:hAnsi="Times New Roman" w:cs="Times New Roman"/>
        </w:rPr>
        <w:tab/>
        <w:t>в случае невозможности расторжения Соглашения ИИС в одностороннем порядке по инициативе Клиента до наступления условий, предусмотренных Правилами.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настоящим обязуется возместить Брокеру в течение 5 (Пяти) рабочих дней с момента направления Брокером соответствующего требования Клиенту все суммы понесенных Брокером расходов в связи с привлечением Брокера к ответственности, в том числе, суммы штрафов, пеней, расходов на представителя для представления интересов Брокера в административном производстве, в суде.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В случае неисполнения/ненадлежащего исполнения Клиентом своих обязательств по уплате вознаграждения Брокера и/или расходов Брокера, предусмотренных настоящими Правилами Брокер вправе: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продать необходимое количество принадлежащих Клиенту ценных бумаг на требуемую сумму по рыночной цене на ближайшей торговой сессии и удержать причитающуюся Брокеру и Бирже сумму комиссий и сборов из денежных средств, поступивших от продажи ценных бумаг. Оставшиеся после удержания денежные средства остаются на ИИС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списывать без распоряжения (согласия) Клиента на основании соответствующих расчетных документов денежные средства в размере, необходимом для исполнения обязательств Клиента по возмещению расходов Брокера, указанных в пункте 7.5 настоящих Правил,</w:t>
      </w:r>
      <w:r w:rsidRPr="00F17F65">
        <w:rPr>
          <w:rFonts w:ascii="Times New Roman" w:eastAsia="Times New Roman" w:hAnsi="Times New Roman" w:cs="Times New Roman"/>
          <w:b/>
          <w:color w:val="0070C0"/>
          <w:lang w:eastAsia="ru-RU"/>
        </w:rPr>
        <w:t xml:space="preserve"> </w:t>
      </w:r>
      <w:r w:rsidRPr="00F17F65">
        <w:rPr>
          <w:rFonts w:ascii="Times New Roman" w:eastAsia="Times New Roman" w:hAnsi="Times New Roman" w:cs="Times New Roman"/>
          <w:lang w:eastAsia="ru-RU"/>
        </w:rPr>
        <w:t xml:space="preserve">и по уплате вознаграждения Брокеру, указанного в </w:t>
      </w:r>
      <w:r w:rsidRPr="00F17F65">
        <w:rPr>
          <w:rFonts w:ascii="Times New Roman" w:eastAsia="Times New Roman" w:hAnsi="Times New Roman" w:cs="Times New Roman"/>
        </w:rPr>
        <w:t>разделе 6</w:t>
      </w:r>
      <w:r w:rsidRPr="00F17F65">
        <w:rPr>
          <w:rFonts w:ascii="Times New Roman" w:eastAsia="Times New Roman" w:hAnsi="Times New Roman" w:cs="Times New Roman"/>
          <w:lang w:eastAsia="ru-RU"/>
        </w:rPr>
        <w:t xml:space="preserve"> Правил, а также налоги на доходы физических лиц исчисленных к удержанию с иных брокерских счетов, открытых Клиентом в</w:t>
      </w:r>
      <w:r w:rsidR="005F6599">
        <w:rPr>
          <w:rFonts w:ascii="Times New Roman" w:eastAsia="Times New Roman" w:hAnsi="Times New Roman" w:cs="Times New Roman"/>
          <w:lang w:eastAsia="ru-RU"/>
        </w:rPr>
        <w:t xml:space="preserve"> ПАО «Совкомбанк»</w:t>
      </w:r>
      <w:r w:rsidRPr="00F17F65">
        <w:rPr>
          <w:rFonts w:ascii="Times New Roman" w:eastAsia="Times New Roman" w:hAnsi="Times New Roman" w:cs="Times New Roman"/>
          <w:lang w:eastAsia="ru-RU"/>
        </w:rPr>
        <w:t xml:space="preserve">, с ИИС, открытого в соответствии с настоящими Правилами, а также с любого другого счета Клиента, открытого в </w:t>
      </w:r>
      <w:r w:rsidR="005F6599">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в случае недостаточности денежных средств на ИИС для исполнения указанных обязательств Клиента. </w:t>
      </w:r>
    </w:p>
    <w:p w:rsidR="00F17F65" w:rsidRPr="00F17F65" w:rsidRDefault="00F17F65" w:rsidP="00F17F65">
      <w:pPr>
        <w:spacing w:after="0" w:line="240" w:lineRule="auto"/>
        <w:ind w:firstLine="720"/>
        <w:jc w:val="both"/>
        <w:rPr>
          <w:rFonts w:ascii="Times New Roman" w:eastAsia="Times New Roman" w:hAnsi="Times New Roman" w:cs="Times New Roman"/>
        </w:rPr>
      </w:pPr>
    </w:p>
    <w:p w:rsidR="00F17F65" w:rsidRPr="00F17F65" w:rsidRDefault="00F17F65" w:rsidP="00F17F65">
      <w:pPr>
        <w:spacing w:after="0" w:line="240" w:lineRule="auto"/>
        <w:ind w:firstLine="720"/>
        <w:jc w:val="both"/>
        <w:rPr>
          <w:rFonts w:ascii="Times New Roman" w:eastAsia="Times New Roman" w:hAnsi="Times New Roman" w:cs="Times New Roman"/>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ФОРС-МАЖОРНЫЕ ОБСТОЯТЕЛЬСТВА</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Соглашению ИИС, если оно явилось следствием обстоятельств непреодолимой силы, возникших после присоединения к Правилам, в результате событий чрезвычайного характера, которые Стороны не могли ни предвидеть, ни предотвратить разумными мерами. К таким обстоятельствам Стороны относят военные действия, массовые беспорядки, стихийные действия и забастовки, решения органов Биржи, делающие невозможным исполнение обязательств по Соглашению ИИС.</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УСЛОВИЯ КОНФИДЕНЦИАЛЬНОСТИ</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Любая информация, передаваемая одной Стороной другой Стороне в период действия настоящего Соглашения ИИС, касающаяся операций на рынке ценных бумаг, является конфиденциальной и не подлежит разглашению третьим лицам, за исключением случаев, предусмотренных действующим законодательством.</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Обязанности по соблюдению конфиденциальности остаются в силе и после прекращения действия настоящего Соглашения ИИС в течение 5 (Пяти) лет.</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случае разглашении конфиденциальной информации одной из Сторон по Соглашению ИИС лицам, не указанным в настоящем Регламенте, а также в случаях, не предусмотренных законодательством Российской Федерации, Сторона, чьи права при этом были нарушены, вправе потребовать от другой Стороны возмещения причиненных ей убытков в порядке, установленном законодательством Российской Федерации.</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РАССМОТРЕНИЯ СПОРОВ</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lang w:eastAsia="ru-RU"/>
        </w:rPr>
        <w:t>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 что признается Брокером и Клиентом в качестве юридического, значимого доказательства согласования условии сделки.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lang w:eastAsia="ru-RU"/>
        </w:rPr>
        <w:t>Стороны обязуются предпринимать необходимые действия для урегулирования всех споров, возникающих из настоящих Правил, путем переговоров. В случае возникновения какого-либо спора Сторона направляет другой Стороне претензию с указанием существа спора и заявленных требований. Претензия рассматривается в течение 30 (Тридцати) календарных дней. При неполучении ответа в установленный срок, спор может быть передан на разрешение в суд по месту нахождения Брокера в порядке, предусмотренном действующим законодательством.</w:t>
      </w: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b/>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ОСОБЕННОСТИ РАСТОРЖЕНИЯ СОГЛАШЕНИЯ ИИС</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Соглашение ИИС вступает в силу с момента Присоединения к Правилам и действует до конца календарного года в котором состоялось подписание. Действие Соглашения ИИС автоматически продлевается на каждый следующий календарный год, если ни одна из Сторон за тридцать календарных дней до истечения срока действия Соглашения ИИС не известит другую о намерении прекратить его действие.</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Действие Соглашения ИИС может быть прекращено по инициативе любой из Сторон, письменно уведомившей об этом другую Сторону не менее чем за 15 (Пятнадцать) календарных дней до даты его прекращения, при условии исполнения всех ранее принятых на себя обязательств по Соглашению ИИС.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В случае прекращения (расторжения) Соглашения ИИС, Брокер как налоговый агент производит </w:t>
      </w:r>
      <w:r w:rsidRPr="00F17F65">
        <w:rPr>
          <w:rFonts w:ascii="Times New Roman" w:eastAsia="Times New Roman" w:hAnsi="Times New Roman" w:cs="Times New Roman"/>
          <w:lang w:eastAsia="ru-RU"/>
        </w:rPr>
        <w:lastRenderedPageBreak/>
        <w:t>исчисление, удержание и уплату суммы налога на доходы физических лиц по операциям с ценными бумагами, учитываемым на ИИС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Действие Договора автоматически прекращается на 5 (Пятый) рабочий день с даты: </w:t>
      </w:r>
    </w:p>
    <w:p w:rsidR="00F17F65" w:rsidRPr="00F17F65" w:rsidRDefault="00F17F65" w:rsidP="00F17F65">
      <w:pPr>
        <w:widowControl w:val="0"/>
        <w:autoSpaceDE w:val="0"/>
        <w:autoSpaceDN w:val="0"/>
        <w:spacing w:after="0" w:line="240" w:lineRule="auto"/>
        <w:ind w:left="851" w:hanging="284"/>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получения Брокером уведомления Клиента, указанного в пункте 3.3.13 настоящих Правил, или получения Брокером соответствующей информации иным образом; </w:t>
      </w:r>
    </w:p>
    <w:p w:rsidR="00F17F65" w:rsidRPr="00F17F65" w:rsidRDefault="00F17F65" w:rsidP="00F17F65">
      <w:pPr>
        <w:widowControl w:val="0"/>
        <w:autoSpaceDE w:val="0"/>
        <w:autoSpaceDN w:val="0"/>
        <w:spacing w:after="0" w:line="240" w:lineRule="auto"/>
        <w:ind w:left="851" w:hanging="284"/>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перевода Брокером по поручению Клиента всех или части Активов Клиента с ИИС; </w:t>
      </w:r>
    </w:p>
    <w:p w:rsidR="00F17F65" w:rsidRPr="00F17F65" w:rsidRDefault="00F17F65" w:rsidP="00F17F65">
      <w:pPr>
        <w:widowControl w:val="0"/>
        <w:autoSpaceDE w:val="0"/>
        <w:autoSpaceDN w:val="0"/>
        <w:spacing w:after="0" w:line="240" w:lineRule="auto"/>
        <w:ind w:left="851" w:hanging="284"/>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прекращения действия настоящего Соглашения ИИС.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Отказ любой Стороны от Соглашения ИИС не освобождает Клиента от обязанности выплатить Брокеру вознаграждение за услуги, оказанные Клиенту Брокером до прекращения Соглашения ИИС, а также возместить Брокеру понесенные им до прекращения Соглашения ИИС расходы.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прекращении действия Соглашения ИИС, Банк прекращает действие раздела  Счёта депо открытого в целях учёта операций с ценными бумагами по Соглашения ИИС в сроки предусмотренными Условиями осуществления депозитарной деятельности в</w:t>
      </w:r>
      <w:r w:rsidR="00E26D29">
        <w:rPr>
          <w:rFonts w:ascii="Times New Roman" w:eastAsia="Times New Roman" w:hAnsi="Times New Roman" w:cs="Times New Roman"/>
          <w:lang w:eastAsia="ru-RU"/>
        </w:rPr>
        <w:t xml:space="preserve"> ПАО «Совкомбанк»</w:t>
      </w:r>
      <w:r w:rsidRPr="00F17F65">
        <w:rPr>
          <w:rFonts w:ascii="Times New Roman" w:eastAsia="Times New Roman" w:hAnsi="Times New Roman" w:cs="Times New Roman"/>
          <w:lang w:eastAsia="ru-RU"/>
        </w:rPr>
        <w:t xml:space="preserve">. </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ВНЕСЕНИЯ ИЗМЕНЕНИЙ ПРАВИЛА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имеет право в одностороннем порядке вносить изменения и дополнения в Правила, с обязательным уведомлением Клиента не позднее, чем за 7 (Семь) рабочих дней до вступления в силу изменений и дополнений. Если в течение указанного срока Клиент не выражает своего несогласия, то изменения и дополнения к Правилам считаются принятыми.</w:t>
      </w:r>
    </w:p>
    <w:p w:rsidR="00F17F65" w:rsidRPr="00F17F65" w:rsidRDefault="00F17F65" w:rsidP="00F17F65">
      <w:pPr>
        <w:widowControl w:val="0"/>
        <w:autoSpaceDE w:val="0"/>
        <w:autoSpaceDN w:val="0"/>
        <w:spacing w:after="0" w:line="240" w:lineRule="auto"/>
        <w:ind w:left="720"/>
        <w:contextualSpacing/>
        <w:rPr>
          <w:rFonts w:ascii="Times New Roman" w:eastAsia="Times New Roman" w:hAnsi="Times New Roman" w:cs="Times New Roman"/>
          <w:b/>
          <w:bCs/>
          <w:lang w:eastAsia="ru-RU"/>
        </w:rPr>
      </w:pPr>
    </w:p>
    <w:tbl>
      <w:tblPr>
        <w:tblW w:w="0" w:type="auto"/>
        <w:tblLayout w:type="fixed"/>
        <w:tblLook w:val="0000" w:firstRow="0" w:lastRow="0" w:firstColumn="0" w:lastColumn="0" w:noHBand="0" w:noVBand="0"/>
      </w:tblPr>
      <w:tblGrid>
        <w:gridCol w:w="4644"/>
        <w:gridCol w:w="5210"/>
      </w:tblGrid>
      <w:tr w:rsidR="00F17F65" w:rsidRPr="00F17F65" w:rsidTr="000544EA">
        <w:tc>
          <w:tcPr>
            <w:tcW w:w="4644"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c>
          <w:tcPr>
            <w:tcW w:w="5210"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keepNext/>
        <w:autoSpaceDE w:val="0"/>
        <w:autoSpaceDN w:val="0"/>
        <w:spacing w:after="0" w:line="240" w:lineRule="auto"/>
        <w:outlineLvl w:val="1"/>
        <w:rPr>
          <w:rFonts w:ascii="Times New Roman" w:eastAsia="Times New Roman" w:hAnsi="Times New Roman" w:cs="Times New Roman"/>
          <w:noProof/>
          <w:lang w:eastAsia="ru-RU"/>
        </w:rPr>
        <w:sectPr w:rsidR="00F17F65" w:rsidRPr="00F17F65" w:rsidSect="007F3B3C">
          <w:footerReference w:type="default" r:id="rId9"/>
          <w:pgSz w:w="12242" w:h="15842"/>
          <w:pgMar w:top="426" w:right="1043" w:bottom="568" w:left="1134" w:header="709" w:footer="920" w:gutter="0"/>
          <w:cols w:space="709"/>
        </w:sectPr>
      </w:pPr>
      <w:bookmarkStart w:id="1" w:name="_Toc277419203"/>
      <w:bookmarkStart w:id="2" w:name="_Toc277419564"/>
    </w:p>
    <w:bookmarkEnd w:id="1"/>
    <w:bookmarkEnd w:id="2"/>
    <w:p w:rsidR="00F17F65" w:rsidRPr="00F17F65" w:rsidRDefault="00052204" w:rsidP="00052204">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hAnsi="Times New Roman" w:cs="Garamond"/>
          <w:b/>
          <w:bCs/>
          <w:noProof/>
          <w:sz w:val="20"/>
          <w:szCs w:val="20"/>
          <w:lang w:eastAsia="ru-RU"/>
        </w:rPr>
        <w:lastRenderedPageBreak/>
        <w:drawing>
          <wp:inline distT="0" distB="0" distL="0" distR="0" wp14:anchorId="77C1BB63" wp14:editId="5E3ECC95">
            <wp:extent cx="1762125" cy="189230"/>
            <wp:effectExtent l="0" t="0" r="9525" b="127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F17F65" w:rsidRPr="00F17F65">
        <w:rPr>
          <w:rFonts w:ascii="Times New Roman" w:eastAsia="Times New Roman" w:hAnsi="Times New Roman" w:cs="Times New Roman"/>
          <w:sz w:val="20"/>
          <w:szCs w:val="20"/>
          <w:lang w:eastAsia="ru-RU"/>
        </w:rPr>
        <w:t xml:space="preserve">Приложение № </w:t>
      </w:r>
      <w:r w:rsidR="00DC3F01">
        <w:rPr>
          <w:rFonts w:ascii="Times New Roman" w:eastAsia="Times New Roman" w:hAnsi="Times New Roman" w:cs="Times New Roman"/>
          <w:sz w:val="20"/>
          <w:szCs w:val="20"/>
          <w:lang w:eastAsia="ru-RU"/>
        </w:rPr>
        <w:t>1</w:t>
      </w:r>
      <w:r w:rsidR="00F17F65" w:rsidRPr="00F17F65">
        <w:rPr>
          <w:rFonts w:ascii="Times New Roman" w:eastAsia="Times New Roman" w:hAnsi="Times New Roman" w:cs="Times New Roman"/>
          <w:sz w:val="20"/>
          <w:szCs w:val="20"/>
          <w:lang w:eastAsia="ru-RU"/>
        </w:rPr>
        <w:t xml:space="preserve">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tbl>
      <w:tblPr>
        <w:tblW w:w="10064" w:type="dxa"/>
        <w:tblInd w:w="250" w:type="dxa"/>
        <w:tblLayout w:type="fixed"/>
        <w:tblLook w:val="0000" w:firstRow="0" w:lastRow="0" w:firstColumn="0" w:lastColumn="0" w:noHBand="0" w:noVBand="0"/>
      </w:tblPr>
      <w:tblGrid>
        <w:gridCol w:w="7655"/>
        <w:gridCol w:w="2409"/>
      </w:tblGrid>
      <w:tr w:rsidR="00F17F65" w:rsidRPr="00F17F65" w:rsidTr="000544EA">
        <w:tc>
          <w:tcPr>
            <w:tcW w:w="7655"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052204"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F17F65">
        <w:rPr>
          <w:rFonts w:ascii="Times New Roman" w:eastAsia="Times New Roman" w:hAnsi="Times New Roman" w:cs="Times New Roman"/>
          <w:b/>
          <w:bCs/>
          <w:color w:val="000000"/>
          <w:sz w:val="20"/>
          <w:szCs w:val="20"/>
          <w:lang w:eastAsia="ru-RU"/>
        </w:rPr>
        <w:t>ЗАЯВЛЕНИЕ</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F17F65">
        <w:rPr>
          <w:rFonts w:ascii="Times New Roman" w:eastAsia="Times New Roman" w:hAnsi="Times New Roman" w:cs="Times New Roman"/>
          <w:b/>
          <w:bCs/>
          <w:sz w:val="20"/>
          <w:szCs w:val="20"/>
          <w:lang w:eastAsia="ru-RU"/>
        </w:rPr>
        <w:t>на перевод денежных средств другому профессиональному участнику рынка ценных бумаг</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Клиент</w:t>
            </w: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/фамилия, имя, отчество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/реквизиты документа, удостоверяющего личность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Прошу перевести денежные средства в размере свободного наличного остатка денежных средств, учитываемых на Индивидуальном инвестиционном счете, профессиональному участнику рынка ценных бумаг:</w:t>
      </w: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/полное наименование профессионального участника рынка ценных бумаг в соответствие с Уставом/</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Лицензия профессионального участника рынка ценных бумаг на осуществление __________________________________, выдана «____» _____________ ____ г. № __________, орган, выдавший лицензию ________________________________________________________________________, </w:t>
      </w:r>
    </w:p>
    <w:tbl>
      <w:tblPr>
        <w:tblW w:w="10314" w:type="dxa"/>
        <w:tblLayout w:type="fixed"/>
        <w:tblLook w:val="0000" w:firstRow="0" w:lastRow="0" w:firstColumn="0" w:lastColumn="0" w:noHBand="0" w:noVBand="0"/>
      </w:tblPr>
      <w:tblGrid>
        <w:gridCol w:w="108"/>
        <w:gridCol w:w="902"/>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2"/>
        <w:gridCol w:w="283"/>
      </w:tblGrid>
      <w:tr w:rsidR="00F17F65" w:rsidRPr="00F17F65" w:rsidTr="000544EA">
        <w:trPr>
          <w:trHeight w:val="73"/>
        </w:trPr>
        <w:tc>
          <w:tcPr>
            <w:tcW w:w="10314" w:type="dxa"/>
            <w:gridSpan w:val="23"/>
          </w:tcPr>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bCs/>
                <w:color w:val="000000"/>
                <w:lang w:eastAsia="ru-RU"/>
              </w:rPr>
            </w:pPr>
            <w:r w:rsidRPr="00F17F65">
              <w:rPr>
                <w:rFonts w:ascii="Times New Roman" w:eastAsia="Times New Roman" w:hAnsi="Times New Roman" w:cs="Times New Roman"/>
                <w:bCs/>
                <w:color w:val="000000"/>
                <w:lang w:eastAsia="ru-RU"/>
              </w:rPr>
              <w:t xml:space="preserve">с которым у меня заключен договор на ведение Индивидуального инвестиционного счета № ____ от «____» ___________ 20 __ г., по следующим реквизитам: </w:t>
            </w:r>
          </w:p>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F17F65" w:rsidRPr="00F17F65" w:rsidTr="000544EA">
        <w:tblPrEx>
          <w:tblBorders>
            <w:top w:val="dotted" w:sz="4" w:space="0" w:color="auto"/>
            <w:left w:val="dotted" w:sz="4" w:space="0" w:color="auto"/>
            <w:bottom w:val="dotted" w:sz="4" w:space="0" w:color="auto"/>
            <w:right w:val="dotted" w:sz="4" w:space="0" w:color="auto"/>
          </w:tblBorders>
        </w:tblPrEx>
        <w:trPr>
          <w:gridBefore w:val="1"/>
          <w:gridAfter w:val="1"/>
          <w:wBefore w:w="108" w:type="dxa"/>
          <w:wAfter w:w="283" w:type="dxa"/>
        </w:trPr>
        <w:tc>
          <w:tcPr>
            <w:tcW w:w="902"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Счет</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2"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sz w:val="16"/>
          <w:szCs w:val="16"/>
          <w:lang w:eastAsia="ru-RU"/>
        </w:rPr>
        <w:t>/указать реквизиты Индивидуального инвестиционного счета/</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Наименование Банка получателя: _____________________________________________________________</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БИК Банка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ИНН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ДОПОЛНИТЕЛЬНЫЕ РЕКВИЗИТЫ___________________________________________________________ </w:t>
      </w: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НАЗНАЧЕНИЕ ПЛАТЕЖА _________________________________________________________________, </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bCs/>
          <w:lang w:eastAsia="ru-RU"/>
        </w:rPr>
        <w:t>Прошу также расторгнуть Соглашение на ведение Индивидуального инвестиционного счета №________ от «_____» ____________________, заключенное между мною и Брокером (далее – Соглашение ИИС). Претензий к Брокеру по исполнению Соглашения ИИС не имею, все обязательства перед Брокером обязуюсь исполнить.</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bCs/>
          <w:sz w:val="24"/>
          <w:szCs w:val="24"/>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           __________________</w:t>
      </w:r>
      <w:r w:rsidRPr="00F17F65">
        <w:rPr>
          <w:rFonts w:ascii="Times New Roman" w:eastAsia="Times New Roman" w:hAnsi="Times New Roman" w:cs="Times New Roman"/>
          <w:bCs/>
          <w:lang w:eastAsia="ru-RU"/>
        </w:rPr>
        <w:tab/>
        <w:t xml:space="preserve">  ___________ (__________)</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sectPr w:rsidR="00F17F65" w:rsidRPr="00F17F65" w:rsidSect="006A2F9B">
          <w:pgSz w:w="12242" w:h="15842"/>
          <w:pgMar w:top="993" w:right="1043" w:bottom="709" w:left="1134" w:header="709" w:footer="920" w:gutter="0"/>
          <w:cols w:space="709"/>
        </w:sect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F17F65" w:rsidRPr="00F17F65" w:rsidRDefault="000E2E14" w:rsidP="000E2E14">
      <w:pPr>
        <w:keepNext/>
        <w:autoSpaceDE w:val="0"/>
        <w:autoSpaceDN w:val="0"/>
        <w:spacing w:after="0" w:line="240" w:lineRule="auto"/>
        <w:outlineLvl w:val="1"/>
        <w:rPr>
          <w:rFonts w:ascii="Times New Roman" w:eastAsia="Times New Roman" w:hAnsi="Times New Roman" w:cs="Times New Roman"/>
          <w:sz w:val="20"/>
          <w:szCs w:val="20"/>
          <w:lang w:eastAsia="ru-RU"/>
        </w:rPr>
      </w:pPr>
      <w:r>
        <w:rPr>
          <w:rFonts w:ascii="Times New Roman" w:hAnsi="Times New Roman" w:cs="Garamond"/>
          <w:b/>
          <w:bCs/>
          <w:noProof/>
          <w:sz w:val="20"/>
          <w:szCs w:val="20"/>
          <w:lang w:eastAsia="ru-RU"/>
        </w:rPr>
        <w:lastRenderedPageBreak/>
        <w:drawing>
          <wp:inline distT="0" distB="0" distL="0" distR="0" wp14:anchorId="77C1BB63" wp14:editId="5E3ECC95">
            <wp:extent cx="1762125" cy="189230"/>
            <wp:effectExtent l="0" t="0" r="9525" b="127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F17F65" w:rsidRPr="00F17F65">
        <w:rPr>
          <w:rFonts w:ascii="Times New Roman" w:eastAsia="Times New Roman" w:hAnsi="Times New Roman" w:cs="Times New Roman"/>
          <w:sz w:val="20"/>
          <w:szCs w:val="20"/>
          <w:lang w:eastAsia="ru-RU"/>
        </w:rPr>
        <w:t xml:space="preserve">Приложение № </w:t>
      </w:r>
      <w:r w:rsidR="00DC3F01">
        <w:rPr>
          <w:rFonts w:ascii="Times New Roman" w:eastAsia="Times New Roman" w:hAnsi="Times New Roman" w:cs="Times New Roman"/>
          <w:sz w:val="20"/>
          <w:szCs w:val="20"/>
          <w:lang w:eastAsia="ru-RU"/>
        </w:rPr>
        <w:t>2</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lang w:eastAsia="ru-RU"/>
        </w:rPr>
      </w:pPr>
    </w:p>
    <w:tbl>
      <w:tblPr>
        <w:tblW w:w="10064" w:type="dxa"/>
        <w:tblInd w:w="250" w:type="dxa"/>
        <w:tblLayout w:type="fixed"/>
        <w:tblLook w:val="0000" w:firstRow="0" w:lastRow="0" w:firstColumn="0" w:lastColumn="0" w:noHBand="0" w:noVBand="0"/>
      </w:tblPr>
      <w:tblGrid>
        <w:gridCol w:w="7655"/>
        <w:gridCol w:w="2409"/>
      </w:tblGrid>
      <w:tr w:rsidR="00F17F65" w:rsidRPr="00F17F65" w:rsidTr="000544EA">
        <w:tc>
          <w:tcPr>
            <w:tcW w:w="7655"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F17F65">
        <w:rPr>
          <w:rFonts w:ascii="Times New Roman" w:eastAsia="Times New Roman" w:hAnsi="Times New Roman" w:cs="Times New Roman"/>
          <w:b/>
          <w:bCs/>
          <w:color w:val="000000"/>
          <w:sz w:val="20"/>
          <w:szCs w:val="20"/>
          <w:lang w:eastAsia="ru-RU"/>
        </w:rPr>
        <w:t>ПОРУЧЕНИЕ</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F17F65">
        <w:rPr>
          <w:rFonts w:ascii="Times New Roman" w:eastAsia="Times New Roman" w:hAnsi="Times New Roman" w:cs="Times New Roman"/>
          <w:b/>
          <w:bCs/>
          <w:sz w:val="20"/>
          <w:szCs w:val="20"/>
          <w:lang w:eastAsia="ru-RU"/>
        </w:rPr>
        <w:t>на перечисление денежных средств с Индивидуального инвестиционного счета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Клиент (получатель платежа)</w:t>
            </w: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/фамилия, имя, отчество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/реквизиты документа, удостоверяющего личность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Прошу перечислить на указанный ниже счет свободный наличный остаток денежных средств, учитываемых на Индивидуальном инвестиционном счете:</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902"/>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2"/>
      </w:tblGrid>
      <w:tr w:rsidR="00F17F65" w:rsidRPr="00F17F65" w:rsidTr="000544EA">
        <w:tc>
          <w:tcPr>
            <w:tcW w:w="902"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Р/Счет</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2"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Наименование Банка получателя: _____________________________________________________________</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БИК Банка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ИНН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ДОПОЛНИТЕЛЬНЫЕ РЕКВИЗИТЫ___________________________________________________________ </w:t>
      </w: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p>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а также расторгнуть Соглашение на ведение Индивидуального инвестиционного счета №_____ от _______ (далее – Соглашение ИИС). Претензий к Брокеру по исполнению Соглашения ИИС не имею, все обязательства перед Брокером обязуюсь исполнить.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bCs/>
          <w:sz w:val="24"/>
          <w:szCs w:val="24"/>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           __________________</w:t>
      </w:r>
      <w:r w:rsidRPr="00F17F65">
        <w:rPr>
          <w:rFonts w:ascii="Times New Roman" w:eastAsia="Times New Roman" w:hAnsi="Times New Roman" w:cs="Times New Roman"/>
          <w:bCs/>
          <w:lang w:eastAsia="ru-RU"/>
        </w:rPr>
        <w:tab/>
        <w:t xml:space="preserve">  ___________ (__________)</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sectPr w:rsidR="00F17F65" w:rsidRPr="00F17F65" w:rsidSect="006A2F9B">
          <w:pgSz w:w="12242" w:h="15842"/>
          <w:pgMar w:top="993" w:right="1043" w:bottom="709" w:left="1134" w:header="709" w:footer="920" w:gutter="0"/>
          <w:cols w:space="709"/>
        </w:sect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F17F65" w:rsidRPr="00F17F65" w:rsidRDefault="00097387" w:rsidP="00097387">
      <w:pPr>
        <w:keepNext/>
        <w:autoSpaceDE w:val="0"/>
        <w:autoSpaceDN w:val="0"/>
        <w:spacing w:after="0" w:line="240" w:lineRule="auto"/>
        <w:outlineLvl w:val="1"/>
        <w:rPr>
          <w:rFonts w:ascii="Times New Roman" w:eastAsia="Times New Roman" w:hAnsi="Times New Roman" w:cs="Times New Roman"/>
          <w:lang w:eastAsia="ru-RU"/>
        </w:rPr>
      </w:pPr>
      <w:r>
        <w:rPr>
          <w:rFonts w:ascii="Times New Roman" w:hAnsi="Times New Roman" w:cs="Garamond"/>
          <w:b/>
          <w:bCs/>
          <w:noProof/>
          <w:sz w:val="20"/>
          <w:szCs w:val="20"/>
          <w:lang w:eastAsia="ru-RU"/>
        </w:rPr>
        <w:lastRenderedPageBreak/>
        <w:drawing>
          <wp:inline distT="0" distB="0" distL="0" distR="0" wp14:anchorId="77C1BB63" wp14:editId="5E3ECC95">
            <wp:extent cx="1762125" cy="189230"/>
            <wp:effectExtent l="0" t="0" r="9525" b="127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t xml:space="preserve">          </w:t>
      </w:r>
      <w:r w:rsidR="00F17F65" w:rsidRPr="00F17F65">
        <w:rPr>
          <w:rFonts w:ascii="Times New Roman" w:eastAsia="Times New Roman" w:hAnsi="Times New Roman" w:cs="Times New Roman"/>
          <w:lang w:eastAsia="ru-RU"/>
        </w:rPr>
        <w:t xml:space="preserve">Приложение № </w:t>
      </w:r>
      <w:r w:rsidR="00DC3F01">
        <w:rPr>
          <w:rFonts w:ascii="Times New Roman" w:eastAsia="Times New Roman" w:hAnsi="Times New Roman" w:cs="Times New Roman"/>
          <w:lang w:eastAsia="ru-RU"/>
        </w:rPr>
        <w:t>3</w:t>
      </w:r>
      <w:r w:rsidR="00F17F65" w:rsidRPr="00F17F65">
        <w:rPr>
          <w:rFonts w:ascii="Times New Roman" w:eastAsia="Times New Roman" w:hAnsi="Times New Roman" w:cs="Times New Roman"/>
          <w:lang w:eastAsia="ru-RU"/>
        </w:rPr>
        <w:t xml:space="preserve">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tbl>
      <w:tblPr>
        <w:tblW w:w="0" w:type="auto"/>
        <w:tblInd w:w="250" w:type="dxa"/>
        <w:tblLayout w:type="fixed"/>
        <w:tblLook w:val="0000" w:firstRow="0" w:lastRow="0" w:firstColumn="0" w:lastColumn="0" w:noHBand="0" w:noVBand="0"/>
      </w:tblPr>
      <w:tblGrid>
        <w:gridCol w:w="4503"/>
        <w:gridCol w:w="2976"/>
        <w:gridCol w:w="2585"/>
      </w:tblGrid>
      <w:tr w:rsidR="00F17F65" w:rsidRPr="00F17F65" w:rsidTr="000544EA">
        <w:tc>
          <w:tcPr>
            <w:tcW w:w="4503"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7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585"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F17F65">
        <w:rPr>
          <w:rFonts w:ascii="Times New Roman" w:eastAsia="Times New Roman" w:hAnsi="Times New Roman" w:cs="Times New Roman"/>
          <w:b/>
          <w:color w:val="000000"/>
          <w:lang w:eastAsia="ru-RU"/>
        </w:rPr>
        <w:t xml:space="preserve">ЗАЯВЛЕНИЕ </w:t>
      </w: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F17F65">
        <w:rPr>
          <w:rFonts w:ascii="Times New Roman" w:eastAsia="Times New Roman" w:hAnsi="Times New Roman" w:cs="Times New Roman"/>
          <w:b/>
          <w:color w:val="000000"/>
          <w:lang w:eastAsia="ru-RU"/>
        </w:rPr>
        <w:t xml:space="preserve">НА ПРЕДОСТАВЛЕНИЕ СПРАВКИ, ПОДТВЕРЖДАЮЩЕЙ ФАКТ ЗАЧИСЛЕНИЯ ДЕНЕЖНЫХ СРЕДСТВ НА ИНДИВИДУАЛЬНЫЙ ИНВЕСТИЦИОННЫЙ СЧЁТ, </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 Настоящим прошу Вас предоставить мне справку подтверждающую факт зачисления денежных средств на индивидуальный инвестиционный счёт по Соглашению № Б-___________ от __.__.____ года, за период с 01.01.20 __ года по 31.12.20 __ год.</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 xml:space="preserve">                                               </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           __________________</w:t>
      </w:r>
      <w:r w:rsidRPr="00F17F65">
        <w:rPr>
          <w:rFonts w:ascii="Times New Roman" w:eastAsia="Times New Roman" w:hAnsi="Times New Roman" w:cs="Times New Roman"/>
          <w:bCs/>
          <w:lang w:eastAsia="ru-RU"/>
        </w:rPr>
        <w:tab/>
        <w:t xml:space="preserve">  ___________ (__________)</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sectPr w:rsidR="00F17F65" w:rsidRPr="00F17F65" w:rsidSect="006A2F9B">
          <w:pgSz w:w="12242" w:h="15842"/>
          <w:pgMar w:top="993" w:right="1043" w:bottom="709" w:left="1134" w:header="709" w:footer="920" w:gutter="0"/>
          <w:cols w:space="709"/>
        </w:sect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846AC3" w:rsidP="00F17F65">
      <w:pPr>
        <w:widowControl w:val="0"/>
        <w:autoSpaceDE w:val="0"/>
        <w:autoSpaceDN w:val="0"/>
        <w:spacing w:after="0" w:line="240" w:lineRule="auto"/>
        <w:rPr>
          <w:rFonts w:ascii="Times New Roman" w:eastAsia="Times New Roman" w:hAnsi="Times New Roman" w:cs="Times New Roman"/>
          <w:lang w:eastAsia="ru-RU"/>
        </w:rPr>
      </w:pPr>
      <w:r>
        <w:rPr>
          <w:rFonts w:ascii="Times New Roman" w:hAnsi="Times New Roman" w:cs="Garamond"/>
          <w:b/>
          <w:bCs/>
          <w:noProof/>
          <w:sz w:val="20"/>
          <w:szCs w:val="20"/>
          <w:lang w:eastAsia="ru-RU"/>
        </w:rPr>
        <w:drawing>
          <wp:inline distT="0" distB="0" distL="0" distR="0" wp14:anchorId="77C1BB63" wp14:editId="5E3ECC95">
            <wp:extent cx="1762125" cy="189230"/>
            <wp:effectExtent l="0" t="0" r="9525" b="127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p>
    <w:p w:rsidR="00F17F65" w:rsidRPr="00F17F65" w:rsidRDefault="00F17F65" w:rsidP="00F17F65">
      <w:pPr>
        <w:keepNext/>
        <w:autoSpaceDE w:val="0"/>
        <w:autoSpaceDN w:val="0"/>
        <w:spacing w:after="0" w:line="240" w:lineRule="auto"/>
        <w:jc w:val="right"/>
        <w:outlineLvl w:val="1"/>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Приложение № </w:t>
      </w:r>
      <w:r w:rsidR="00DC3F01">
        <w:rPr>
          <w:rFonts w:ascii="Times New Roman" w:eastAsia="Times New Roman" w:hAnsi="Times New Roman" w:cs="Times New Roman"/>
          <w:sz w:val="20"/>
          <w:szCs w:val="20"/>
          <w:lang w:eastAsia="ru-RU"/>
        </w:rPr>
        <w:t>4</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tbl>
      <w:tblPr>
        <w:tblW w:w="10064" w:type="dxa"/>
        <w:tblInd w:w="250" w:type="dxa"/>
        <w:tblLayout w:type="fixed"/>
        <w:tblLook w:val="0000" w:firstRow="0" w:lastRow="0" w:firstColumn="0" w:lastColumn="0" w:noHBand="0" w:noVBand="0"/>
      </w:tblPr>
      <w:tblGrid>
        <w:gridCol w:w="7655"/>
        <w:gridCol w:w="2409"/>
      </w:tblGrid>
      <w:tr w:rsidR="00F17F65" w:rsidRPr="00F17F65" w:rsidTr="000544EA">
        <w:tc>
          <w:tcPr>
            <w:tcW w:w="7655"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val="en-US"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F17F65">
        <w:rPr>
          <w:rFonts w:ascii="Times New Roman" w:eastAsia="Times New Roman" w:hAnsi="Times New Roman" w:cs="Times New Roman"/>
          <w:b/>
          <w:bCs/>
          <w:color w:val="000000"/>
          <w:sz w:val="20"/>
          <w:szCs w:val="20"/>
          <w:lang w:eastAsia="ru-RU"/>
        </w:rPr>
        <w:t>ЗАЯВЛЕНИЕ</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F17F65">
        <w:rPr>
          <w:rFonts w:ascii="Times New Roman" w:eastAsia="Times New Roman" w:hAnsi="Times New Roman" w:cs="Times New Roman"/>
          <w:b/>
          <w:bCs/>
          <w:sz w:val="20"/>
          <w:szCs w:val="20"/>
          <w:lang w:eastAsia="ru-RU"/>
        </w:rPr>
        <w:t xml:space="preserve">на </w:t>
      </w:r>
      <w:r w:rsidR="00DC3F01">
        <w:rPr>
          <w:rFonts w:ascii="Times New Roman" w:eastAsia="Times New Roman" w:hAnsi="Times New Roman" w:cs="Times New Roman"/>
          <w:b/>
          <w:bCs/>
          <w:sz w:val="20"/>
          <w:szCs w:val="20"/>
          <w:lang w:eastAsia="ru-RU"/>
        </w:rPr>
        <w:t>изменение</w:t>
      </w:r>
      <w:r w:rsidRPr="00F17F65">
        <w:rPr>
          <w:rFonts w:ascii="Times New Roman" w:eastAsia="Times New Roman" w:hAnsi="Times New Roman" w:cs="Times New Roman"/>
          <w:b/>
          <w:bCs/>
          <w:sz w:val="20"/>
          <w:szCs w:val="20"/>
          <w:lang w:eastAsia="ru-RU"/>
        </w:rPr>
        <w:t xml:space="preserve"> типа налогового вычета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 xml:space="preserve">Клиент </w:t>
            </w: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/фамилия, имя, отчество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/реквизиты документа, удостоверяющего личность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Настоящим заявлением подтверждаю выбор использования типа налогового вычета:</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10160</wp:posOffset>
                </wp:positionH>
                <wp:positionV relativeFrom="paragraph">
                  <wp:posOffset>138430</wp:posOffset>
                </wp:positionV>
                <wp:extent cx="163830" cy="156845"/>
                <wp:effectExtent l="10160" t="5080" r="6985"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 cy="1568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1145C" id="Прямоугольник 3" o:spid="_x0000_s1026" style="position:absolute;margin-left:.8pt;margin-top:10.9pt;width:12.9pt;height:1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"/>
            </w:pict>
          </mc:Fallback>
        </mc:AlternateConten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       В сумме денежных средств, внесённых налогоплательщиком в налоговом периоде на ИИС</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2576" behindDoc="0" locked="0" layoutInCell="1" allowOverlap="1">
                <wp:simplePos x="0" y="0"/>
                <wp:positionH relativeFrom="column">
                  <wp:posOffset>10160</wp:posOffset>
                </wp:positionH>
                <wp:positionV relativeFrom="paragraph">
                  <wp:posOffset>130175</wp:posOffset>
                </wp:positionV>
                <wp:extent cx="163830" cy="156845"/>
                <wp:effectExtent l="10160" t="6350" r="6985" b="82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 cy="1568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02C7D" id="Прямоугольник 2" o:spid="_x0000_s1026" style="position:absolute;margin-left:.8pt;margin-top:10.25pt;width:12.9pt;height:1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"/>
            </w:pict>
          </mc:Fallback>
        </mc:AlternateConten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       В сумме доходов, полученных по операциям учитываемых на ИИС</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bCs/>
          <w:sz w:val="24"/>
          <w:szCs w:val="24"/>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           __________________</w:t>
      </w:r>
      <w:r w:rsidRPr="00F17F65">
        <w:rPr>
          <w:rFonts w:ascii="Times New Roman" w:eastAsia="Times New Roman" w:hAnsi="Times New Roman" w:cs="Times New Roman"/>
          <w:bCs/>
          <w:lang w:eastAsia="ru-RU"/>
        </w:rPr>
        <w:tab/>
        <w:t xml:space="preserve">  ___________ (__________)</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D02223" w:rsidRDefault="00D02223"/>
    <w:sectPr w:rsidR="00D02223" w:rsidSect="006A2F9B">
      <w:pgSz w:w="12242" w:h="15842"/>
      <w:pgMar w:top="993" w:right="1043" w:bottom="709" w:left="1134" w:header="709" w:footer="9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FF4" w:rsidRDefault="00827FF4">
      <w:pPr>
        <w:spacing w:after="0" w:line="240" w:lineRule="auto"/>
      </w:pPr>
      <w:r>
        <w:separator/>
      </w:r>
    </w:p>
  </w:endnote>
  <w:endnote w:type="continuationSeparator" w:id="0">
    <w:p w:rsidR="00827FF4" w:rsidRDefault="00827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A8D" w:rsidRPr="00B34286" w:rsidRDefault="00F17F65">
    <w:pPr>
      <w:pStyle w:val="a7"/>
      <w:framePr w:wrap="auto" w:vAnchor="text" w:hAnchor="margin" w:xAlign="right" w:y="1"/>
      <w:rPr>
        <w:rStyle w:val="a9"/>
      </w:rPr>
    </w:pPr>
    <w:r w:rsidRPr="00B34286">
      <w:rPr>
        <w:rStyle w:val="a9"/>
      </w:rPr>
      <w:fldChar w:fldCharType="begin"/>
    </w:r>
    <w:r w:rsidRPr="00B34286">
      <w:rPr>
        <w:rStyle w:val="a9"/>
      </w:rPr>
      <w:instrText xml:space="preserve">PAGE  </w:instrText>
    </w:r>
    <w:r w:rsidRPr="00B34286">
      <w:rPr>
        <w:rStyle w:val="a9"/>
      </w:rPr>
      <w:fldChar w:fldCharType="separate"/>
    </w:r>
    <w:r w:rsidR="004F1B58">
      <w:rPr>
        <w:rStyle w:val="a9"/>
        <w:noProof/>
      </w:rPr>
      <w:t>1</w:t>
    </w:r>
    <w:r w:rsidRPr="00B34286">
      <w:rPr>
        <w:rStyle w:val="a9"/>
      </w:rPr>
      <w:fldChar w:fldCharType="end"/>
    </w:r>
  </w:p>
  <w:p w:rsidR="00CE3A8D" w:rsidRDefault="00F17F65" w:rsidP="001C7F02">
    <w:pPr>
      <w:ind w:right="360"/>
    </w:pPr>
    <w:r>
      <w:t>_____________________________________________________________________________________</w:t>
    </w:r>
  </w:p>
  <w:p w:rsidR="00CE3A8D" w:rsidRPr="00D22686" w:rsidRDefault="00F17F65" w:rsidP="00D22686">
    <w:pPr>
      <w:jc w:val="center"/>
      <w:rPr>
        <w:sz w:val="20"/>
        <w:szCs w:val="20"/>
      </w:rPr>
    </w:pPr>
    <w:r w:rsidRPr="00D22686">
      <w:rPr>
        <w:bCs/>
        <w:sz w:val="20"/>
        <w:szCs w:val="20"/>
      </w:rPr>
      <w:t>Правила и условия</w:t>
    </w:r>
    <w:r w:rsidRPr="00D22686">
      <w:rPr>
        <w:sz w:val="20"/>
        <w:szCs w:val="20"/>
      </w:rPr>
      <w:t xml:space="preserve"> ведения Индивидуального инвестиционного счёта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FF4" w:rsidRDefault="00827FF4">
      <w:pPr>
        <w:spacing w:after="0" w:line="240" w:lineRule="auto"/>
      </w:pPr>
      <w:r>
        <w:separator/>
      </w:r>
    </w:p>
  </w:footnote>
  <w:footnote w:type="continuationSeparator" w:id="0">
    <w:p w:rsidR="00827FF4" w:rsidRDefault="00827F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4E42F9"/>
    <w:multiLevelType w:val="singleLevel"/>
    <w:tmpl w:val="1BE4800C"/>
    <w:lvl w:ilvl="0">
      <w:start w:val="6"/>
      <w:numFmt w:val="decimal"/>
      <w:lvlText w:val="%1."/>
      <w:legacy w:legacy="1" w:legacySpace="0" w:legacyIndent="360"/>
      <w:lvlJc w:val="left"/>
      <w:pPr>
        <w:ind w:left="360" w:hanging="360"/>
      </w:pPr>
      <w:rPr>
        <w:rFonts w:cs="Times New Roman"/>
      </w:rPr>
    </w:lvl>
  </w:abstractNum>
  <w:abstractNum w:abstractNumId="2" w15:restartNumberingAfterBreak="0">
    <w:nsid w:val="036F7B4A"/>
    <w:multiLevelType w:val="hybridMultilevel"/>
    <w:tmpl w:val="248A20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22406F"/>
    <w:multiLevelType w:val="multilevel"/>
    <w:tmpl w:val="23BEA0A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B3D4704"/>
    <w:multiLevelType w:val="singleLevel"/>
    <w:tmpl w:val="6A443044"/>
    <w:lvl w:ilvl="0">
      <w:start w:val="3"/>
      <w:numFmt w:val="decimal"/>
      <w:lvlText w:val="3.%1. "/>
      <w:legacy w:legacy="1" w:legacySpace="0" w:legacyIndent="360"/>
      <w:lvlJc w:val="left"/>
      <w:pPr>
        <w:ind w:left="360" w:hanging="360"/>
      </w:pPr>
      <w:rPr>
        <w:rFonts w:cs="Times New Roman"/>
        <w:sz w:val="20"/>
        <w:szCs w:val="20"/>
      </w:rPr>
    </w:lvl>
  </w:abstractNum>
  <w:abstractNum w:abstractNumId="5" w15:restartNumberingAfterBreak="0">
    <w:nsid w:val="10117F92"/>
    <w:multiLevelType w:val="multilevel"/>
    <w:tmpl w:val="3E50F8E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3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44601AE"/>
    <w:multiLevelType w:val="singleLevel"/>
    <w:tmpl w:val="57BE9FD6"/>
    <w:lvl w:ilvl="0">
      <w:start w:val="1"/>
      <w:numFmt w:val="decimal"/>
      <w:lvlText w:val="9.%1. "/>
      <w:legacy w:legacy="1" w:legacySpace="0" w:legacyIndent="360"/>
      <w:lvlJc w:val="left"/>
      <w:pPr>
        <w:ind w:left="360" w:hanging="360"/>
      </w:pPr>
      <w:rPr>
        <w:rFonts w:cs="Times New Roman"/>
        <w:sz w:val="20"/>
        <w:szCs w:val="20"/>
      </w:rPr>
    </w:lvl>
  </w:abstractNum>
  <w:abstractNum w:abstractNumId="7" w15:restartNumberingAfterBreak="0">
    <w:nsid w:val="160C0E9E"/>
    <w:multiLevelType w:val="multilevel"/>
    <w:tmpl w:val="C5F85CC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89B15C9"/>
    <w:multiLevelType w:val="singleLevel"/>
    <w:tmpl w:val="D34C95DC"/>
    <w:lvl w:ilvl="0">
      <w:start w:val="5"/>
      <w:numFmt w:val="decimal"/>
      <w:lvlText w:val="2.1.%1. "/>
      <w:legacy w:legacy="1" w:legacySpace="0" w:legacyIndent="360"/>
      <w:lvlJc w:val="left"/>
      <w:pPr>
        <w:ind w:left="360" w:hanging="360"/>
      </w:pPr>
      <w:rPr>
        <w:rFonts w:cs="Times New Roman"/>
        <w:sz w:val="20"/>
        <w:szCs w:val="20"/>
      </w:rPr>
    </w:lvl>
  </w:abstractNum>
  <w:abstractNum w:abstractNumId="9" w15:restartNumberingAfterBreak="0">
    <w:nsid w:val="201E4B39"/>
    <w:multiLevelType w:val="hybridMultilevel"/>
    <w:tmpl w:val="B6882B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43C5803"/>
    <w:multiLevelType w:val="hybridMultilevel"/>
    <w:tmpl w:val="D45C4A20"/>
    <w:lvl w:ilvl="0" w:tplc="77C40D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E20371"/>
    <w:multiLevelType w:val="multilevel"/>
    <w:tmpl w:val="8F0C3DD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val="0"/>
        <w:i w:val="0"/>
        <w:color w:val="auto"/>
        <w:sz w:val="20"/>
        <w:szCs w:val="20"/>
      </w:rPr>
    </w:lvl>
    <w:lvl w:ilvl="2">
      <w:start w:val="1"/>
      <w:numFmt w:val="decimal"/>
      <w:lvlText w:val="%1.%2.%3."/>
      <w:lvlJc w:val="left"/>
      <w:pPr>
        <w:tabs>
          <w:tab w:val="num" w:pos="1440"/>
        </w:tabs>
        <w:ind w:left="1224" w:hanging="504"/>
      </w:pPr>
      <w:rPr>
        <w:rFonts w:cs="Times New Roman"/>
        <w:color w:val="auto"/>
        <w:sz w:val="20"/>
        <w:szCs w:val="2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3AC55182"/>
    <w:multiLevelType w:val="multilevel"/>
    <w:tmpl w:val="3E50F8E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3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01A5E37"/>
    <w:multiLevelType w:val="multilevel"/>
    <w:tmpl w:val="42A62928"/>
    <w:lvl w:ilvl="0">
      <w:start w:val="11"/>
      <w:numFmt w:val="decimal"/>
      <w:lvlText w:val="%1."/>
      <w:lvlJc w:val="left"/>
      <w:pPr>
        <w:ind w:left="810" w:hanging="810"/>
      </w:pPr>
      <w:rPr>
        <w:rFonts w:cs="Times New Roman" w:hint="default"/>
      </w:rPr>
    </w:lvl>
    <w:lvl w:ilvl="1">
      <w:start w:val="4"/>
      <w:numFmt w:val="decimal"/>
      <w:lvlText w:val="%1.%2."/>
      <w:lvlJc w:val="left"/>
      <w:pPr>
        <w:ind w:left="999" w:hanging="810"/>
      </w:pPr>
      <w:rPr>
        <w:rFonts w:cs="Times New Roman" w:hint="default"/>
      </w:rPr>
    </w:lvl>
    <w:lvl w:ilvl="2">
      <w:start w:val="2"/>
      <w:numFmt w:val="decimal"/>
      <w:lvlText w:val="%1.%2.%3."/>
      <w:lvlJc w:val="left"/>
      <w:pPr>
        <w:ind w:left="1188" w:hanging="810"/>
      </w:pPr>
      <w:rPr>
        <w:rFonts w:cs="Times New Roman" w:hint="default"/>
      </w:rPr>
    </w:lvl>
    <w:lvl w:ilvl="3">
      <w:start w:val="2"/>
      <w:numFmt w:val="decimal"/>
      <w:lvlText w:val="%1.%2.%3.%4."/>
      <w:lvlJc w:val="left"/>
      <w:pPr>
        <w:ind w:left="1377" w:hanging="810"/>
      </w:pPr>
      <w:rPr>
        <w:rFonts w:cs="Times New Roman" w:hint="default"/>
      </w:rPr>
    </w:lvl>
    <w:lvl w:ilvl="4">
      <w:start w:val="1"/>
      <w:numFmt w:val="decimal"/>
      <w:lvlText w:val="%1.%2.%3.%4.%5."/>
      <w:lvlJc w:val="left"/>
      <w:pPr>
        <w:ind w:left="1836" w:hanging="1080"/>
      </w:pPr>
      <w:rPr>
        <w:rFonts w:cs="Times New Roman" w:hint="default"/>
      </w:rPr>
    </w:lvl>
    <w:lvl w:ilvl="5">
      <w:start w:val="1"/>
      <w:numFmt w:val="decimal"/>
      <w:lvlText w:val="%1.%2.%3.%4.%5.%6."/>
      <w:lvlJc w:val="left"/>
      <w:pPr>
        <w:ind w:left="2025" w:hanging="1080"/>
      </w:pPr>
      <w:rPr>
        <w:rFonts w:cs="Times New Roman" w:hint="default"/>
      </w:rPr>
    </w:lvl>
    <w:lvl w:ilvl="6">
      <w:start w:val="1"/>
      <w:numFmt w:val="decimal"/>
      <w:lvlText w:val="%1.%2.%3.%4.%5.%6.%7."/>
      <w:lvlJc w:val="left"/>
      <w:pPr>
        <w:ind w:left="2574" w:hanging="1440"/>
      </w:pPr>
      <w:rPr>
        <w:rFonts w:cs="Times New Roman" w:hint="default"/>
      </w:rPr>
    </w:lvl>
    <w:lvl w:ilvl="7">
      <w:start w:val="1"/>
      <w:numFmt w:val="decimal"/>
      <w:lvlText w:val="%1.%2.%3.%4.%5.%6.%7.%8."/>
      <w:lvlJc w:val="left"/>
      <w:pPr>
        <w:ind w:left="2763" w:hanging="1440"/>
      </w:pPr>
      <w:rPr>
        <w:rFonts w:cs="Times New Roman" w:hint="default"/>
      </w:rPr>
    </w:lvl>
    <w:lvl w:ilvl="8">
      <w:start w:val="1"/>
      <w:numFmt w:val="decimal"/>
      <w:lvlText w:val="%1.%2.%3.%4.%5.%6.%7.%8.%9."/>
      <w:lvlJc w:val="left"/>
      <w:pPr>
        <w:ind w:left="3312" w:hanging="1800"/>
      </w:pPr>
      <w:rPr>
        <w:rFonts w:cs="Times New Roman" w:hint="default"/>
      </w:rPr>
    </w:lvl>
  </w:abstractNum>
  <w:abstractNum w:abstractNumId="14" w15:restartNumberingAfterBreak="0">
    <w:nsid w:val="49A45966"/>
    <w:multiLevelType w:val="hybridMultilevel"/>
    <w:tmpl w:val="F0B63AFA"/>
    <w:lvl w:ilvl="0" w:tplc="079AF11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382FDF"/>
    <w:multiLevelType w:val="multilevel"/>
    <w:tmpl w:val="9754EC58"/>
    <w:lvl w:ilvl="0">
      <w:start w:val="4"/>
      <w:numFmt w:val="decimal"/>
      <w:lvlText w:val="%1."/>
      <w:lvlJc w:val="left"/>
      <w:pPr>
        <w:ind w:left="360" w:hanging="360"/>
      </w:pPr>
      <w:rPr>
        <w:rFonts w:cs="Times New Roman" w:hint="default"/>
      </w:rPr>
    </w:lvl>
    <w:lvl w:ilvl="1">
      <w:start w:val="3"/>
      <w:numFmt w:val="decimal"/>
      <w:lvlText w:val="%1.%2."/>
      <w:lvlJc w:val="left"/>
      <w:pPr>
        <w:ind w:left="1077" w:hanging="360"/>
      </w:pPr>
      <w:rPr>
        <w:rFonts w:cs="Times New Roman" w:hint="default"/>
      </w:rPr>
    </w:lvl>
    <w:lvl w:ilvl="2">
      <w:start w:val="1"/>
      <w:numFmt w:val="decimal"/>
      <w:lvlText w:val="%1.%2.%3."/>
      <w:lvlJc w:val="left"/>
      <w:pPr>
        <w:ind w:left="2154" w:hanging="720"/>
      </w:pPr>
      <w:rPr>
        <w:rFonts w:cs="Times New Roman" w:hint="default"/>
      </w:rPr>
    </w:lvl>
    <w:lvl w:ilvl="3">
      <w:start w:val="1"/>
      <w:numFmt w:val="decimal"/>
      <w:lvlText w:val="%1.%2.%3.%4."/>
      <w:lvlJc w:val="left"/>
      <w:pPr>
        <w:ind w:left="2871" w:hanging="720"/>
      </w:pPr>
      <w:rPr>
        <w:rFonts w:cs="Times New Roman" w:hint="default"/>
      </w:rPr>
    </w:lvl>
    <w:lvl w:ilvl="4">
      <w:start w:val="1"/>
      <w:numFmt w:val="decimal"/>
      <w:lvlText w:val="%1.%2.%3.%4.%5."/>
      <w:lvlJc w:val="left"/>
      <w:pPr>
        <w:ind w:left="3948" w:hanging="1080"/>
      </w:pPr>
      <w:rPr>
        <w:rFonts w:cs="Times New Roman" w:hint="default"/>
      </w:rPr>
    </w:lvl>
    <w:lvl w:ilvl="5">
      <w:start w:val="1"/>
      <w:numFmt w:val="decimal"/>
      <w:lvlText w:val="%1.%2.%3.%4.%5.%6."/>
      <w:lvlJc w:val="left"/>
      <w:pPr>
        <w:ind w:left="4665" w:hanging="1080"/>
      </w:pPr>
      <w:rPr>
        <w:rFonts w:cs="Times New Roman" w:hint="default"/>
      </w:rPr>
    </w:lvl>
    <w:lvl w:ilvl="6">
      <w:start w:val="1"/>
      <w:numFmt w:val="decimal"/>
      <w:lvlText w:val="%1.%2.%3.%4.%5.%6.%7."/>
      <w:lvlJc w:val="left"/>
      <w:pPr>
        <w:ind w:left="5742" w:hanging="1440"/>
      </w:pPr>
      <w:rPr>
        <w:rFonts w:cs="Times New Roman" w:hint="default"/>
      </w:rPr>
    </w:lvl>
    <w:lvl w:ilvl="7">
      <w:start w:val="1"/>
      <w:numFmt w:val="decimal"/>
      <w:lvlText w:val="%1.%2.%3.%4.%5.%6.%7.%8."/>
      <w:lvlJc w:val="left"/>
      <w:pPr>
        <w:ind w:left="6459" w:hanging="1440"/>
      </w:pPr>
      <w:rPr>
        <w:rFonts w:cs="Times New Roman" w:hint="default"/>
      </w:rPr>
    </w:lvl>
    <w:lvl w:ilvl="8">
      <w:start w:val="1"/>
      <w:numFmt w:val="decimal"/>
      <w:lvlText w:val="%1.%2.%3.%4.%5.%6.%7.%8.%9."/>
      <w:lvlJc w:val="left"/>
      <w:pPr>
        <w:ind w:left="7536" w:hanging="1800"/>
      </w:pPr>
      <w:rPr>
        <w:rFonts w:cs="Times New Roman" w:hint="default"/>
      </w:rPr>
    </w:lvl>
  </w:abstractNum>
  <w:abstractNum w:abstractNumId="16" w15:restartNumberingAfterBreak="0">
    <w:nsid w:val="5E6232D0"/>
    <w:multiLevelType w:val="multilevel"/>
    <w:tmpl w:val="034E1392"/>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61427991"/>
    <w:multiLevelType w:val="singleLevel"/>
    <w:tmpl w:val="08BE9C0A"/>
    <w:lvl w:ilvl="0">
      <w:start w:val="3"/>
      <w:numFmt w:val="bullet"/>
      <w:lvlText w:val="-"/>
      <w:lvlJc w:val="left"/>
      <w:pPr>
        <w:tabs>
          <w:tab w:val="num" w:pos="1080"/>
        </w:tabs>
        <w:ind w:left="1080" w:hanging="360"/>
      </w:pPr>
      <w:rPr>
        <w:rFonts w:hint="default"/>
      </w:rPr>
    </w:lvl>
  </w:abstractNum>
  <w:abstractNum w:abstractNumId="18" w15:restartNumberingAfterBreak="0">
    <w:nsid w:val="624E142C"/>
    <w:multiLevelType w:val="singleLevel"/>
    <w:tmpl w:val="18725332"/>
    <w:lvl w:ilvl="0">
      <w:start w:val="1"/>
      <w:numFmt w:val="decimal"/>
      <w:lvlText w:val="2.3.%1. "/>
      <w:legacy w:legacy="1" w:legacySpace="0" w:legacyIndent="283"/>
      <w:lvlJc w:val="left"/>
      <w:pPr>
        <w:ind w:left="283" w:hanging="283"/>
      </w:pPr>
      <w:rPr>
        <w:rFonts w:cs="Times New Roman"/>
        <w:sz w:val="20"/>
        <w:szCs w:val="20"/>
      </w:rPr>
    </w:lvl>
  </w:abstractNum>
  <w:abstractNum w:abstractNumId="19" w15:restartNumberingAfterBreak="0">
    <w:nsid w:val="648102D5"/>
    <w:multiLevelType w:val="multilevel"/>
    <w:tmpl w:val="9554476E"/>
    <w:lvl w:ilvl="0">
      <w:start w:val="7"/>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15:restartNumberingAfterBreak="0">
    <w:nsid w:val="6A0178C5"/>
    <w:multiLevelType w:val="singleLevel"/>
    <w:tmpl w:val="F3F0C508"/>
    <w:lvl w:ilvl="0">
      <w:start w:val="3"/>
      <w:numFmt w:val="bullet"/>
      <w:lvlText w:val="-"/>
      <w:lvlJc w:val="left"/>
      <w:pPr>
        <w:tabs>
          <w:tab w:val="num" w:pos="1080"/>
        </w:tabs>
        <w:ind w:left="1080" w:hanging="360"/>
      </w:pPr>
      <w:rPr>
        <w:rFonts w:hint="default"/>
      </w:rPr>
    </w:lvl>
  </w:abstractNum>
  <w:abstractNum w:abstractNumId="21" w15:restartNumberingAfterBreak="0">
    <w:nsid w:val="6A96518F"/>
    <w:multiLevelType w:val="hybridMultilevel"/>
    <w:tmpl w:val="56067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E40196"/>
    <w:multiLevelType w:val="hybridMultilevel"/>
    <w:tmpl w:val="F520520A"/>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D57526"/>
    <w:multiLevelType w:val="hybridMultilevel"/>
    <w:tmpl w:val="6CF68CC0"/>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EF5E03"/>
    <w:multiLevelType w:val="hybridMultilevel"/>
    <w:tmpl w:val="4C38702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4CD1BD9"/>
    <w:multiLevelType w:val="singleLevel"/>
    <w:tmpl w:val="FCA27D10"/>
    <w:lvl w:ilvl="0">
      <w:start w:val="8"/>
      <w:numFmt w:val="decimal"/>
      <w:lvlText w:val="2.3.%1. "/>
      <w:legacy w:legacy="1" w:legacySpace="0" w:legacyIndent="283"/>
      <w:lvlJc w:val="left"/>
      <w:pPr>
        <w:ind w:left="1134" w:hanging="283"/>
      </w:pPr>
      <w:rPr>
        <w:rFonts w:cs="Times New Roman"/>
        <w:b w:val="0"/>
        <w:bCs w:val="0"/>
        <w:i w:val="0"/>
        <w:iCs w:val="0"/>
        <w:sz w:val="22"/>
        <w:szCs w:val="22"/>
      </w:rPr>
    </w:lvl>
  </w:abstractNum>
  <w:abstractNum w:abstractNumId="26" w15:restartNumberingAfterBreak="0">
    <w:nsid w:val="7C644B41"/>
    <w:multiLevelType w:val="hybridMultilevel"/>
    <w:tmpl w:val="6CB4B058"/>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B3442C"/>
    <w:multiLevelType w:val="hybridMultilevel"/>
    <w:tmpl w:val="41D047F8"/>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3425"/>
        </w:tabs>
        <w:ind w:left="3425" w:hanging="360"/>
      </w:pPr>
      <w:rPr>
        <w:rFonts w:ascii="Courier New" w:hAnsi="Courier New" w:hint="default"/>
      </w:rPr>
    </w:lvl>
    <w:lvl w:ilvl="2" w:tplc="04190005">
      <w:start w:val="1"/>
      <w:numFmt w:val="bullet"/>
      <w:lvlText w:val=""/>
      <w:lvlJc w:val="left"/>
      <w:pPr>
        <w:tabs>
          <w:tab w:val="num" w:pos="4145"/>
        </w:tabs>
        <w:ind w:left="4145" w:hanging="360"/>
      </w:pPr>
      <w:rPr>
        <w:rFonts w:ascii="Wingdings" w:hAnsi="Wingdings" w:hint="default"/>
      </w:rPr>
    </w:lvl>
    <w:lvl w:ilvl="3" w:tplc="04190001" w:tentative="1">
      <w:start w:val="1"/>
      <w:numFmt w:val="bullet"/>
      <w:lvlText w:val=""/>
      <w:lvlJc w:val="left"/>
      <w:pPr>
        <w:tabs>
          <w:tab w:val="num" w:pos="4865"/>
        </w:tabs>
        <w:ind w:left="4865" w:hanging="360"/>
      </w:pPr>
      <w:rPr>
        <w:rFonts w:ascii="Symbol" w:hAnsi="Symbol" w:hint="default"/>
      </w:rPr>
    </w:lvl>
    <w:lvl w:ilvl="4" w:tplc="04190003" w:tentative="1">
      <w:start w:val="1"/>
      <w:numFmt w:val="bullet"/>
      <w:lvlText w:val="o"/>
      <w:lvlJc w:val="left"/>
      <w:pPr>
        <w:tabs>
          <w:tab w:val="num" w:pos="5585"/>
        </w:tabs>
        <w:ind w:left="5585" w:hanging="360"/>
      </w:pPr>
      <w:rPr>
        <w:rFonts w:ascii="Courier New" w:hAnsi="Courier New" w:hint="default"/>
      </w:rPr>
    </w:lvl>
    <w:lvl w:ilvl="5" w:tplc="04190005" w:tentative="1">
      <w:start w:val="1"/>
      <w:numFmt w:val="bullet"/>
      <w:lvlText w:val=""/>
      <w:lvlJc w:val="left"/>
      <w:pPr>
        <w:tabs>
          <w:tab w:val="num" w:pos="6305"/>
        </w:tabs>
        <w:ind w:left="6305" w:hanging="360"/>
      </w:pPr>
      <w:rPr>
        <w:rFonts w:ascii="Wingdings" w:hAnsi="Wingdings" w:hint="default"/>
      </w:rPr>
    </w:lvl>
    <w:lvl w:ilvl="6" w:tplc="04190001" w:tentative="1">
      <w:start w:val="1"/>
      <w:numFmt w:val="bullet"/>
      <w:lvlText w:val=""/>
      <w:lvlJc w:val="left"/>
      <w:pPr>
        <w:tabs>
          <w:tab w:val="num" w:pos="7025"/>
        </w:tabs>
        <w:ind w:left="7025" w:hanging="360"/>
      </w:pPr>
      <w:rPr>
        <w:rFonts w:ascii="Symbol" w:hAnsi="Symbol" w:hint="default"/>
      </w:rPr>
    </w:lvl>
    <w:lvl w:ilvl="7" w:tplc="04190003" w:tentative="1">
      <w:start w:val="1"/>
      <w:numFmt w:val="bullet"/>
      <w:lvlText w:val="o"/>
      <w:lvlJc w:val="left"/>
      <w:pPr>
        <w:tabs>
          <w:tab w:val="num" w:pos="7745"/>
        </w:tabs>
        <w:ind w:left="7745" w:hanging="360"/>
      </w:pPr>
      <w:rPr>
        <w:rFonts w:ascii="Courier New" w:hAnsi="Courier New" w:hint="default"/>
      </w:rPr>
    </w:lvl>
    <w:lvl w:ilvl="8" w:tplc="04190005" w:tentative="1">
      <w:start w:val="1"/>
      <w:numFmt w:val="bullet"/>
      <w:lvlText w:val=""/>
      <w:lvlJc w:val="left"/>
      <w:pPr>
        <w:tabs>
          <w:tab w:val="num" w:pos="8465"/>
        </w:tabs>
        <w:ind w:left="8465" w:hanging="360"/>
      </w:pPr>
      <w:rPr>
        <w:rFonts w:ascii="Wingdings" w:hAnsi="Wingdings" w:hint="default"/>
      </w:rPr>
    </w:lvl>
  </w:abstractNum>
  <w:num w:numId="1">
    <w:abstractNumId w:val="8"/>
  </w:num>
  <w:num w:numId="2">
    <w:abstractNumId w:val="8"/>
    <w:lvlOverride w:ilvl="0">
      <w:lvl w:ilvl="0">
        <w:start w:val="6"/>
        <w:numFmt w:val="decimal"/>
        <w:lvlText w:val="2.1.%1. "/>
        <w:legacy w:legacy="1" w:legacySpace="0" w:legacyIndent="360"/>
        <w:lvlJc w:val="left"/>
        <w:pPr>
          <w:ind w:left="360" w:hanging="360"/>
        </w:pPr>
        <w:rPr>
          <w:rFonts w:cs="Times New Roman"/>
          <w:sz w:val="20"/>
          <w:szCs w:val="20"/>
        </w:rPr>
      </w:lvl>
    </w:lvlOverride>
  </w:num>
  <w:num w:numId="3">
    <w:abstractNumId w:val="18"/>
  </w:num>
  <w:num w:numId="4">
    <w:abstractNumId w:val="18"/>
    <w:lvlOverride w:ilvl="0">
      <w:lvl w:ilvl="0">
        <w:start w:val="2"/>
        <w:numFmt w:val="decimal"/>
        <w:lvlText w:val="2.3.%1. "/>
        <w:legacy w:legacy="1" w:legacySpace="0" w:legacyIndent="283"/>
        <w:lvlJc w:val="left"/>
        <w:pPr>
          <w:ind w:left="284" w:hanging="283"/>
        </w:pPr>
        <w:rPr>
          <w:rFonts w:cs="Times New Roman"/>
          <w:sz w:val="20"/>
          <w:szCs w:val="20"/>
        </w:rPr>
      </w:lvl>
    </w:lvlOverride>
  </w:num>
  <w:num w:numId="5">
    <w:abstractNumId w:val="4"/>
  </w:num>
  <w:num w:numId="6">
    <w:abstractNumId w:val="0"/>
    <w:lvlOverride w:ilvl="0">
      <w:lvl w:ilvl="0">
        <w:start w:val="8"/>
        <w:numFmt w:val="bullet"/>
        <w:lvlText w:val="-"/>
        <w:legacy w:legacy="1" w:legacySpace="0" w:legacyIndent="360"/>
        <w:lvlJc w:val="left"/>
        <w:pPr>
          <w:ind w:left="360" w:hanging="360"/>
        </w:pPr>
      </w:lvl>
    </w:lvlOverride>
  </w:num>
  <w:num w:numId="7">
    <w:abstractNumId w:val="6"/>
  </w:num>
  <w:num w:numId="8">
    <w:abstractNumId w:val="6"/>
    <w:lvlOverride w:ilvl="0">
      <w:lvl w:ilvl="0">
        <w:start w:val="2"/>
        <w:numFmt w:val="decimal"/>
        <w:lvlText w:val="9.%1. "/>
        <w:legacy w:legacy="1" w:legacySpace="0" w:legacyIndent="360"/>
        <w:lvlJc w:val="left"/>
        <w:pPr>
          <w:ind w:left="360" w:hanging="360"/>
        </w:pPr>
        <w:rPr>
          <w:rFonts w:cs="Times New Roman"/>
          <w:sz w:val="20"/>
          <w:szCs w:val="20"/>
        </w:rPr>
      </w:lvl>
    </w:lvlOverride>
  </w:num>
  <w:num w:numId="9">
    <w:abstractNumId w:val="17"/>
  </w:num>
  <w:num w:numId="10">
    <w:abstractNumId w:val="20"/>
  </w:num>
  <w:num w:numId="11">
    <w:abstractNumId w:val="25"/>
  </w:num>
  <w:num w:numId="12">
    <w:abstractNumId w:val="3"/>
  </w:num>
  <w:num w:numId="13">
    <w:abstractNumId w:val="23"/>
  </w:num>
  <w:num w:numId="14">
    <w:abstractNumId w:val="16"/>
  </w:num>
  <w:num w:numId="15">
    <w:abstractNumId w:val="1"/>
  </w:num>
  <w:num w:numId="16">
    <w:abstractNumId w:val="14"/>
  </w:num>
  <w:num w:numId="17">
    <w:abstractNumId w:val="19"/>
  </w:num>
  <w:num w:numId="18">
    <w:abstractNumId w:val="22"/>
  </w:num>
  <w:num w:numId="19">
    <w:abstractNumId w:val="27"/>
  </w:num>
  <w:num w:numId="20">
    <w:abstractNumId w:val="26"/>
  </w:num>
  <w:num w:numId="21">
    <w:abstractNumId w:val="15"/>
  </w:num>
  <w:num w:numId="22">
    <w:abstractNumId w:val="7"/>
  </w:num>
  <w:num w:numId="23">
    <w:abstractNumId w:val="10"/>
  </w:num>
  <w:num w:numId="24">
    <w:abstractNumId w:val="11"/>
  </w:num>
  <w:num w:numId="25">
    <w:abstractNumId w:val="21"/>
  </w:num>
  <w:num w:numId="26">
    <w:abstractNumId w:val="2"/>
  </w:num>
  <w:num w:numId="27">
    <w:abstractNumId w:val="9"/>
  </w:num>
  <w:num w:numId="28">
    <w:abstractNumId w:val="5"/>
  </w:num>
  <w:num w:numId="29">
    <w:abstractNumId w:val="12"/>
  </w:num>
  <w:num w:numId="30">
    <w:abstractNumId w:val="1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F65"/>
    <w:rsid w:val="00024B39"/>
    <w:rsid w:val="00052204"/>
    <w:rsid w:val="00097387"/>
    <w:rsid w:val="000E2E14"/>
    <w:rsid w:val="00120813"/>
    <w:rsid w:val="001D3591"/>
    <w:rsid w:val="003135B3"/>
    <w:rsid w:val="00395126"/>
    <w:rsid w:val="004E3C38"/>
    <w:rsid w:val="004F1B58"/>
    <w:rsid w:val="005F6599"/>
    <w:rsid w:val="00745534"/>
    <w:rsid w:val="007F30C9"/>
    <w:rsid w:val="00827FF4"/>
    <w:rsid w:val="00846AC3"/>
    <w:rsid w:val="008917C4"/>
    <w:rsid w:val="00A0369B"/>
    <w:rsid w:val="00AC60CC"/>
    <w:rsid w:val="00B53054"/>
    <w:rsid w:val="00C55642"/>
    <w:rsid w:val="00CB2B81"/>
    <w:rsid w:val="00CC31CD"/>
    <w:rsid w:val="00D02223"/>
    <w:rsid w:val="00D6355C"/>
    <w:rsid w:val="00D66E69"/>
    <w:rsid w:val="00DB1A57"/>
    <w:rsid w:val="00DC3F01"/>
    <w:rsid w:val="00DD4F86"/>
    <w:rsid w:val="00E26D29"/>
    <w:rsid w:val="00E719DC"/>
    <w:rsid w:val="00E817DB"/>
    <w:rsid w:val="00F17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66F43B-8AC5-4044-BA37-460401C6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F17F65"/>
    <w:pPr>
      <w:keepNext/>
      <w:widowControl w:val="0"/>
      <w:autoSpaceDE w:val="0"/>
      <w:autoSpaceDN w:val="0"/>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uiPriority w:val="99"/>
    <w:qFormat/>
    <w:rsid w:val="00F17F65"/>
    <w:pPr>
      <w:keepNext/>
      <w:autoSpaceDE w:val="0"/>
      <w:autoSpaceDN w:val="0"/>
      <w:spacing w:after="0" w:line="240" w:lineRule="auto"/>
      <w:outlineLvl w:val="1"/>
    </w:pPr>
    <w:rPr>
      <w:rFonts w:ascii="Times New Roman" w:eastAsia="Times New Roman" w:hAnsi="Times New Roman" w:cs="Times New Roman"/>
      <w:sz w:val="40"/>
      <w:szCs w:val="20"/>
      <w:lang w:eastAsia="ru-RU"/>
    </w:rPr>
  </w:style>
  <w:style w:type="paragraph" w:styleId="6">
    <w:name w:val="heading 6"/>
    <w:basedOn w:val="a"/>
    <w:next w:val="a"/>
    <w:link w:val="60"/>
    <w:uiPriority w:val="99"/>
    <w:qFormat/>
    <w:rsid w:val="00F17F65"/>
    <w:pPr>
      <w:keepNext/>
      <w:keepLines/>
      <w:widowControl w:val="0"/>
      <w:autoSpaceDE w:val="0"/>
      <w:autoSpaceDN w:val="0"/>
      <w:spacing w:before="200" w:after="0" w:line="240" w:lineRule="auto"/>
      <w:outlineLvl w:val="5"/>
    </w:pPr>
    <w:rPr>
      <w:rFonts w:ascii="Cambria" w:eastAsia="Times New Roman" w:hAnsi="Cambria" w:cs="Times New Roman"/>
      <w:i/>
      <w:color w:val="243F6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17F65"/>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9"/>
    <w:rsid w:val="00F17F65"/>
    <w:rPr>
      <w:rFonts w:ascii="Times New Roman" w:eastAsia="Times New Roman" w:hAnsi="Times New Roman" w:cs="Times New Roman"/>
      <w:sz w:val="40"/>
      <w:szCs w:val="20"/>
      <w:lang w:eastAsia="ru-RU"/>
    </w:rPr>
  </w:style>
  <w:style w:type="character" w:customStyle="1" w:styleId="60">
    <w:name w:val="Заголовок 6 Знак"/>
    <w:basedOn w:val="a0"/>
    <w:link w:val="6"/>
    <w:uiPriority w:val="99"/>
    <w:rsid w:val="00F17F65"/>
    <w:rPr>
      <w:rFonts w:ascii="Cambria" w:eastAsia="Times New Roman" w:hAnsi="Cambria" w:cs="Times New Roman"/>
      <w:i/>
      <w:color w:val="243F60"/>
      <w:sz w:val="20"/>
      <w:szCs w:val="20"/>
      <w:lang w:eastAsia="ru-RU"/>
    </w:rPr>
  </w:style>
  <w:style w:type="paragraph" w:styleId="a3">
    <w:name w:val="Body Text"/>
    <w:basedOn w:val="a"/>
    <w:link w:val="a4"/>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F17F65"/>
    <w:rPr>
      <w:rFonts w:ascii="Times New Roman" w:eastAsia="Times New Roman" w:hAnsi="Times New Roman" w:cs="Times New Roman"/>
      <w:sz w:val="20"/>
      <w:szCs w:val="20"/>
      <w:lang w:eastAsia="ru-RU"/>
    </w:rPr>
  </w:style>
  <w:style w:type="paragraph" w:styleId="21">
    <w:name w:val="Body Text 2"/>
    <w:basedOn w:val="a"/>
    <w:link w:val="22"/>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F17F65"/>
    <w:rPr>
      <w:rFonts w:ascii="Times New Roman" w:eastAsia="Times New Roman" w:hAnsi="Times New Roman" w:cs="Times New Roman"/>
      <w:sz w:val="20"/>
      <w:szCs w:val="20"/>
      <w:lang w:eastAsia="ru-RU"/>
    </w:rPr>
  </w:style>
  <w:style w:type="paragraph" w:styleId="3">
    <w:name w:val="Body Text 3"/>
    <w:basedOn w:val="a"/>
    <w:link w:val="30"/>
    <w:uiPriority w:val="99"/>
    <w:rsid w:val="00F17F65"/>
    <w:pPr>
      <w:widowControl w:val="0"/>
      <w:autoSpaceDE w:val="0"/>
      <w:autoSpaceDN w:val="0"/>
      <w:spacing w:after="0" w:line="240" w:lineRule="auto"/>
      <w:jc w:val="both"/>
    </w:pPr>
    <w:rPr>
      <w:rFonts w:ascii="Times New Roman" w:eastAsia="Times New Roman" w:hAnsi="Times New Roman" w:cs="Times New Roman"/>
      <w:sz w:val="16"/>
      <w:szCs w:val="20"/>
      <w:lang w:eastAsia="ru-RU"/>
    </w:rPr>
  </w:style>
  <w:style w:type="character" w:customStyle="1" w:styleId="30">
    <w:name w:val="Основной текст 3 Знак"/>
    <w:basedOn w:val="a0"/>
    <w:link w:val="3"/>
    <w:uiPriority w:val="99"/>
    <w:rsid w:val="00F17F65"/>
    <w:rPr>
      <w:rFonts w:ascii="Times New Roman" w:eastAsia="Times New Roman" w:hAnsi="Times New Roman" w:cs="Times New Roman"/>
      <w:sz w:val="16"/>
      <w:szCs w:val="20"/>
      <w:lang w:eastAsia="ru-RU"/>
    </w:rPr>
  </w:style>
  <w:style w:type="paragraph" w:styleId="a5">
    <w:name w:val="header"/>
    <w:basedOn w:val="a"/>
    <w:link w:val="a6"/>
    <w:uiPriority w:val="99"/>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uiPriority w:val="99"/>
    <w:rsid w:val="00F17F65"/>
    <w:rPr>
      <w:rFonts w:ascii="Times New Roman" w:eastAsia="Times New Roman" w:hAnsi="Times New Roman" w:cs="Times New Roman"/>
      <w:sz w:val="20"/>
      <w:szCs w:val="20"/>
      <w:lang w:eastAsia="ru-RU"/>
    </w:rPr>
  </w:style>
  <w:style w:type="paragraph" w:styleId="a7">
    <w:name w:val="footer"/>
    <w:basedOn w:val="a"/>
    <w:link w:val="a8"/>
    <w:uiPriority w:val="99"/>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F17F65"/>
    <w:rPr>
      <w:rFonts w:ascii="Times New Roman" w:eastAsia="Times New Roman" w:hAnsi="Times New Roman" w:cs="Times New Roman"/>
      <w:sz w:val="20"/>
      <w:szCs w:val="20"/>
      <w:lang w:eastAsia="ru-RU"/>
    </w:rPr>
  </w:style>
  <w:style w:type="paragraph" w:styleId="23">
    <w:name w:val="Body Text Indent 2"/>
    <w:basedOn w:val="a"/>
    <w:link w:val="24"/>
    <w:uiPriority w:val="99"/>
    <w:rsid w:val="00F17F65"/>
    <w:pPr>
      <w:widowControl w:val="0"/>
      <w:autoSpaceDE w:val="0"/>
      <w:autoSpaceDN w:val="0"/>
      <w:spacing w:after="0" w:line="240" w:lineRule="auto"/>
      <w:ind w:firstLine="567"/>
      <w:jc w:val="both"/>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uiPriority w:val="99"/>
    <w:rsid w:val="00F17F65"/>
    <w:rPr>
      <w:rFonts w:ascii="Times New Roman" w:eastAsia="Times New Roman" w:hAnsi="Times New Roman" w:cs="Times New Roman"/>
      <w:sz w:val="20"/>
      <w:szCs w:val="20"/>
      <w:lang w:eastAsia="ru-RU"/>
    </w:rPr>
  </w:style>
  <w:style w:type="paragraph" w:styleId="31">
    <w:name w:val="Body Text Indent 3"/>
    <w:basedOn w:val="a"/>
    <w:link w:val="32"/>
    <w:uiPriority w:val="99"/>
    <w:rsid w:val="00F17F65"/>
    <w:pPr>
      <w:widowControl w:val="0"/>
      <w:autoSpaceDE w:val="0"/>
      <w:autoSpaceDN w:val="0"/>
      <w:spacing w:after="0" w:line="240" w:lineRule="auto"/>
      <w:ind w:firstLine="720"/>
      <w:jc w:val="both"/>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F17F65"/>
    <w:rPr>
      <w:rFonts w:ascii="Times New Roman" w:eastAsia="Times New Roman" w:hAnsi="Times New Roman" w:cs="Times New Roman"/>
      <w:sz w:val="16"/>
      <w:szCs w:val="20"/>
      <w:lang w:eastAsia="ru-RU"/>
    </w:rPr>
  </w:style>
  <w:style w:type="character" w:styleId="a9">
    <w:name w:val="page number"/>
    <w:basedOn w:val="a0"/>
    <w:uiPriority w:val="99"/>
    <w:rsid w:val="00F17F65"/>
    <w:rPr>
      <w:rFonts w:cs="Times New Roman"/>
    </w:rPr>
  </w:style>
  <w:style w:type="paragraph" w:customStyle="1" w:styleId="ConsNormal">
    <w:name w:val="ConsNormal"/>
    <w:uiPriority w:val="99"/>
    <w:rsid w:val="00F17F65"/>
    <w:pPr>
      <w:autoSpaceDE w:val="0"/>
      <w:autoSpaceDN w:val="0"/>
      <w:spacing w:after="0" w:line="240" w:lineRule="auto"/>
      <w:ind w:firstLine="720"/>
    </w:pPr>
    <w:rPr>
      <w:rFonts w:ascii="Arial" w:eastAsia="Times New Roman" w:hAnsi="Arial" w:cs="Arial"/>
      <w:sz w:val="36"/>
      <w:szCs w:val="36"/>
      <w:lang w:eastAsia="ru-RU"/>
    </w:rPr>
  </w:style>
  <w:style w:type="paragraph" w:styleId="aa">
    <w:name w:val="Balloon Text"/>
    <w:basedOn w:val="a"/>
    <w:link w:val="ab"/>
    <w:uiPriority w:val="99"/>
    <w:semiHidden/>
    <w:rsid w:val="00F17F65"/>
    <w:pPr>
      <w:widowControl w:val="0"/>
      <w:autoSpaceDE w:val="0"/>
      <w:autoSpaceDN w:val="0"/>
      <w:spacing w:after="0" w:line="240" w:lineRule="auto"/>
    </w:pPr>
    <w:rPr>
      <w:rFonts w:ascii="Tahoma" w:eastAsia="Times New Roman" w:hAnsi="Tahoma" w:cs="Times New Roman"/>
      <w:sz w:val="16"/>
      <w:szCs w:val="20"/>
      <w:lang w:eastAsia="ru-RU"/>
    </w:rPr>
  </w:style>
  <w:style w:type="character" w:customStyle="1" w:styleId="ab">
    <w:name w:val="Текст выноски Знак"/>
    <w:basedOn w:val="a0"/>
    <w:link w:val="aa"/>
    <w:uiPriority w:val="99"/>
    <w:semiHidden/>
    <w:rsid w:val="00F17F65"/>
    <w:rPr>
      <w:rFonts w:ascii="Tahoma" w:eastAsia="Times New Roman" w:hAnsi="Tahoma" w:cs="Times New Roman"/>
      <w:sz w:val="16"/>
      <w:szCs w:val="20"/>
      <w:lang w:eastAsia="ru-RU"/>
    </w:rPr>
  </w:style>
  <w:style w:type="paragraph" w:styleId="ac">
    <w:name w:val="No Spacing"/>
    <w:uiPriority w:val="99"/>
    <w:qFormat/>
    <w:rsid w:val="00F17F65"/>
    <w:pPr>
      <w:spacing w:after="0" w:line="240" w:lineRule="auto"/>
    </w:pPr>
    <w:rPr>
      <w:rFonts w:ascii="Calibri" w:eastAsia="Times New Roman" w:hAnsi="Calibri" w:cs="Times New Roman"/>
    </w:rPr>
  </w:style>
  <w:style w:type="paragraph" w:customStyle="1" w:styleId="BodyText21">
    <w:name w:val="Body Text 21"/>
    <w:basedOn w:val="a"/>
    <w:uiPriority w:val="99"/>
    <w:rsid w:val="00F17F65"/>
    <w:pPr>
      <w:autoSpaceDE w:val="0"/>
      <w:autoSpaceDN w:val="0"/>
      <w:spacing w:after="0" w:line="240" w:lineRule="auto"/>
    </w:pPr>
    <w:rPr>
      <w:rFonts w:ascii="Times New Roman" w:eastAsia="Times New Roman" w:hAnsi="Times New Roman" w:cs="Times New Roman"/>
      <w:sz w:val="16"/>
      <w:szCs w:val="16"/>
      <w:lang w:eastAsia="ru-RU"/>
    </w:rPr>
  </w:style>
  <w:style w:type="character" w:styleId="ad">
    <w:name w:val="annotation reference"/>
    <w:basedOn w:val="a0"/>
    <w:uiPriority w:val="99"/>
    <w:semiHidden/>
    <w:rsid w:val="00F17F65"/>
    <w:rPr>
      <w:rFonts w:cs="Times New Roman"/>
      <w:sz w:val="16"/>
    </w:rPr>
  </w:style>
  <w:style w:type="paragraph" w:styleId="ae">
    <w:name w:val="annotation text"/>
    <w:basedOn w:val="a"/>
    <w:link w:val="af"/>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semiHidden/>
    <w:rsid w:val="00F17F65"/>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rsid w:val="00F17F65"/>
    <w:rPr>
      <w:b/>
    </w:rPr>
  </w:style>
  <w:style w:type="character" w:customStyle="1" w:styleId="af1">
    <w:name w:val="Тема примечания Знак"/>
    <w:basedOn w:val="af"/>
    <w:link w:val="af0"/>
    <w:uiPriority w:val="99"/>
    <w:semiHidden/>
    <w:rsid w:val="00F17F65"/>
    <w:rPr>
      <w:rFonts w:ascii="Times New Roman" w:eastAsia="Times New Roman" w:hAnsi="Times New Roman" w:cs="Times New Roman"/>
      <w:b/>
      <w:sz w:val="20"/>
      <w:szCs w:val="20"/>
      <w:lang w:eastAsia="ru-RU"/>
    </w:rPr>
  </w:style>
  <w:style w:type="paragraph" w:customStyle="1" w:styleId="Default">
    <w:name w:val="Default"/>
    <w:uiPriority w:val="99"/>
    <w:rsid w:val="00F17F65"/>
    <w:pPr>
      <w:autoSpaceDE w:val="0"/>
      <w:autoSpaceDN w:val="0"/>
      <w:adjustRightInd w:val="0"/>
      <w:spacing w:after="0" w:line="240" w:lineRule="auto"/>
    </w:pPr>
    <w:rPr>
      <w:rFonts w:ascii="Garamond" w:eastAsia="Times New Roman" w:hAnsi="Garamond" w:cs="Garamond"/>
      <w:color w:val="000000"/>
      <w:sz w:val="24"/>
      <w:szCs w:val="24"/>
      <w:lang w:eastAsia="ru-RU"/>
    </w:rPr>
  </w:style>
  <w:style w:type="paragraph" w:customStyle="1" w:styleId="af2">
    <w:name w:val="Цитаты"/>
    <w:basedOn w:val="a"/>
    <w:uiPriority w:val="99"/>
    <w:rsid w:val="00F17F65"/>
    <w:pPr>
      <w:autoSpaceDE w:val="0"/>
      <w:autoSpaceDN w:val="0"/>
      <w:spacing w:before="100" w:after="100" w:line="240" w:lineRule="auto"/>
      <w:ind w:left="360" w:right="360"/>
    </w:pPr>
    <w:rPr>
      <w:rFonts w:ascii="Times New Roman" w:eastAsia="Times New Roman" w:hAnsi="Times New Roman" w:cs="Times New Roman"/>
      <w:sz w:val="24"/>
      <w:szCs w:val="24"/>
      <w:lang w:eastAsia="ru-RU"/>
    </w:rPr>
  </w:style>
  <w:style w:type="paragraph" w:styleId="af3">
    <w:name w:val="List Paragraph"/>
    <w:basedOn w:val="a"/>
    <w:uiPriority w:val="99"/>
    <w:qFormat/>
    <w:rsid w:val="00F17F65"/>
    <w:pPr>
      <w:widowControl w:val="0"/>
      <w:autoSpaceDE w:val="0"/>
      <w:autoSpaceDN w:val="0"/>
      <w:spacing w:after="0" w:line="240" w:lineRule="auto"/>
      <w:ind w:left="720"/>
      <w:contextualSpacing/>
    </w:pPr>
    <w:rPr>
      <w:rFonts w:ascii="Times New Roman" w:eastAsia="Times New Roman" w:hAnsi="Times New Roman" w:cs="Times New Roman"/>
      <w:lang w:eastAsia="ru-RU"/>
    </w:rPr>
  </w:style>
  <w:style w:type="paragraph" w:customStyle="1" w:styleId="af4">
    <w:name w:val="Íàçâàíèå"/>
    <w:basedOn w:val="af5"/>
    <w:uiPriority w:val="99"/>
    <w:rsid w:val="00F17F65"/>
    <w:pPr>
      <w:tabs>
        <w:tab w:val="left" w:pos="2835"/>
      </w:tabs>
      <w:jc w:val="center"/>
    </w:pPr>
    <w:rPr>
      <w:b/>
      <w:bCs/>
      <w:sz w:val="20"/>
      <w:szCs w:val="20"/>
    </w:rPr>
  </w:style>
  <w:style w:type="paragraph" w:customStyle="1" w:styleId="af5">
    <w:name w:val="Îáû÷íûé"/>
    <w:uiPriority w:val="99"/>
    <w:rsid w:val="00F17F65"/>
    <w:pPr>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F17F65"/>
    <w:pPr>
      <w:widowControl w:val="0"/>
      <w:autoSpaceDE w:val="0"/>
      <w:autoSpaceDN w:val="0"/>
      <w:adjustRightInd w:val="0"/>
      <w:spacing w:after="0" w:line="207" w:lineRule="exact"/>
      <w:jc w:val="both"/>
    </w:pPr>
    <w:rPr>
      <w:rFonts w:ascii="Times New Roman" w:eastAsia="Times New Roman" w:hAnsi="Times New Roman" w:cs="Times New Roman"/>
      <w:sz w:val="24"/>
      <w:szCs w:val="24"/>
      <w:lang w:eastAsia="ru-RU"/>
    </w:rPr>
  </w:style>
  <w:style w:type="paragraph" w:styleId="af6">
    <w:name w:val="endnote text"/>
    <w:basedOn w:val="a"/>
    <w:link w:val="af7"/>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uiPriority w:val="99"/>
    <w:semiHidden/>
    <w:rsid w:val="00F17F65"/>
    <w:rPr>
      <w:rFonts w:ascii="Times New Roman" w:eastAsia="Times New Roman" w:hAnsi="Times New Roman" w:cs="Times New Roman"/>
      <w:sz w:val="20"/>
      <w:szCs w:val="20"/>
      <w:lang w:eastAsia="ru-RU"/>
    </w:rPr>
  </w:style>
  <w:style w:type="character" w:styleId="af8">
    <w:name w:val="endnote reference"/>
    <w:basedOn w:val="a0"/>
    <w:uiPriority w:val="99"/>
    <w:semiHidden/>
    <w:rsid w:val="00F17F65"/>
    <w:rPr>
      <w:rFonts w:cs="Times New Roman"/>
      <w:vertAlign w:val="superscript"/>
    </w:rPr>
  </w:style>
  <w:style w:type="paragraph" w:styleId="af9">
    <w:name w:val="footnote text"/>
    <w:basedOn w:val="a"/>
    <w:link w:val="afa"/>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uiPriority w:val="99"/>
    <w:semiHidden/>
    <w:rsid w:val="00F17F65"/>
    <w:rPr>
      <w:rFonts w:ascii="Times New Roman" w:eastAsia="Times New Roman" w:hAnsi="Times New Roman" w:cs="Times New Roman"/>
      <w:sz w:val="20"/>
      <w:szCs w:val="20"/>
      <w:lang w:eastAsia="ru-RU"/>
    </w:rPr>
  </w:style>
  <w:style w:type="character" w:styleId="afb">
    <w:name w:val="footnote reference"/>
    <w:basedOn w:val="a0"/>
    <w:uiPriority w:val="99"/>
    <w:semiHidden/>
    <w:rsid w:val="00F17F65"/>
    <w:rPr>
      <w:rFonts w:cs="Times New Roman"/>
      <w:vertAlign w:val="superscript"/>
    </w:rPr>
  </w:style>
  <w:style w:type="paragraph" w:customStyle="1" w:styleId="210">
    <w:name w:val="Основной текст 21"/>
    <w:basedOn w:val="a"/>
    <w:uiPriority w:val="99"/>
    <w:rsid w:val="00F17F65"/>
    <w:pPr>
      <w:spacing w:before="120" w:after="120" w:line="240" w:lineRule="auto"/>
      <w:jc w:val="center"/>
    </w:pPr>
    <w:rPr>
      <w:rFonts w:ascii="Times New Roman" w:eastAsia="Times New Roman" w:hAnsi="Times New Roman" w:cs="Times New Roman"/>
      <w:b/>
      <w:bCs/>
      <w:sz w:val="24"/>
      <w:szCs w:val="24"/>
      <w:lang w:eastAsia="ru-RU"/>
    </w:rPr>
  </w:style>
  <w:style w:type="paragraph" w:styleId="afc">
    <w:name w:val="Revision"/>
    <w:hidden/>
    <w:uiPriority w:val="99"/>
    <w:semiHidden/>
    <w:rsid w:val="00F17F65"/>
    <w:pPr>
      <w:spacing w:after="0" w:line="240" w:lineRule="auto"/>
    </w:pPr>
    <w:rPr>
      <w:rFonts w:ascii="Times New Roman" w:eastAsia="Times New Roman" w:hAnsi="Times New Roman" w:cs="Times New Roman"/>
      <w:lang w:eastAsia="ru-RU"/>
    </w:rPr>
  </w:style>
  <w:style w:type="character" w:styleId="afd">
    <w:name w:val="Hyperlink"/>
    <w:basedOn w:val="a0"/>
    <w:uiPriority w:val="99"/>
    <w:semiHidden/>
    <w:rsid w:val="00F17F65"/>
    <w:rPr>
      <w:rFonts w:ascii="Arial" w:hAnsi="Arial" w:cs="Times New Roman"/>
      <w:color w:val="336699"/>
      <w:sz w:val="20"/>
      <w:u w:val="none"/>
      <w:effect w:val="none"/>
    </w:rPr>
  </w:style>
  <w:style w:type="character" w:styleId="afe">
    <w:name w:val="Strong"/>
    <w:basedOn w:val="a0"/>
    <w:uiPriority w:val="99"/>
    <w:qFormat/>
    <w:rsid w:val="00F17F65"/>
    <w:rPr>
      <w:rFonts w:cs="Times New Roman"/>
      <w:b/>
    </w:rPr>
  </w:style>
  <w:style w:type="character" w:customStyle="1" w:styleId="apple-converted-space">
    <w:name w:val="apple-converted-space"/>
    <w:uiPriority w:val="99"/>
    <w:rsid w:val="00F17F65"/>
  </w:style>
  <w:style w:type="character" w:customStyle="1" w:styleId="FontStyle33">
    <w:name w:val="Font Style33"/>
    <w:uiPriority w:val="99"/>
    <w:rsid w:val="00F17F65"/>
    <w:rPr>
      <w:rFonts w:ascii="Garamond" w:hAnsi="Garamond"/>
      <w:b/>
      <w:sz w:val="12"/>
    </w:rPr>
  </w:style>
  <w:style w:type="paragraph" w:customStyle="1" w:styleId="aff">
    <w:name w:val="Нормальный"/>
    <w:rsid w:val="00F17F65"/>
    <w:pPr>
      <w:autoSpaceDE w:val="0"/>
      <w:autoSpaceDN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s.moex.com/files/469/255"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6781</Words>
  <Characters>38655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45346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Гулидо Екатерина Павловна</cp:lastModifiedBy>
  <cp:revision>2</cp:revision>
  <dcterms:created xsi:type="dcterms:W3CDTF">2020-01-21T06:11:00Z</dcterms:created>
  <dcterms:modified xsi:type="dcterms:W3CDTF">2020-01-21T06:11:00Z</dcterms:modified>
</cp:coreProperties>
</file>